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BEAEB" w14:textId="3E5A4F54" w:rsidR="0002533E" w:rsidRDefault="00C2314A" w:rsidP="0002533E">
      <w:pPr>
        <w:pStyle w:val="Default"/>
      </w:pPr>
      <w:r>
        <w:t xml:space="preserve"> </w:t>
      </w:r>
    </w:p>
    <w:p w14:paraId="18E02A11" w14:textId="77777777" w:rsidR="0002533E" w:rsidRDefault="0002533E" w:rsidP="0002533E">
      <w:pPr>
        <w:pStyle w:val="Default"/>
      </w:pPr>
    </w:p>
    <w:p w14:paraId="6ABA88D8" w14:textId="77777777" w:rsidR="0002533E" w:rsidRDefault="0002533E" w:rsidP="0002533E">
      <w:pPr>
        <w:pStyle w:val="Default"/>
      </w:pPr>
    </w:p>
    <w:p w14:paraId="1120A8ED" w14:textId="77777777" w:rsidR="0002533E" w:rsidRDefault="0002533E" w:rsidP="0002533E">
      <w:pPr>
        <w:pStyle w:val="Default"/>
      </w:pPr>
    </w:p>
    <w:p w14:paraId="2CFD5980" w14:textId="77777777" w:rsidR="0002533E" w:rsidRDefault="0002533E" w:rsidP="0002533E">
      <w:pPr>
        <w:pStyle w:val="Default"/>
      </w:pPr>
    </w:p>
    <w:p w14:paraId="0E5F4F55" w14:textId="77777777" w:rsidR="0002533E" w:rsidRDefault="0002533E" w:rsidP="0002533E">
      <w:pPr>
        <w:pStyle w:val="Default"/>
      </w:pPr>
    </w:p>
    <w:p w14:paraId="79731C75" w14:textId="77777777" w:rsidR="0002533E" w:rsidRDefault="0002533E" w:rsidP="0002533E">
      <w:pPr>
        <w:pStyle w:val="Default"/>
      </w:pPr>
    </w:p>
    <w:p w14:paraId="5017B7A1" w14:textId="77777777" w:rsidR="0002533E" w:rsidRDefault="0002533E" w:rsidP="0002533E">
      <w:pPr>
        <w:pStyle w:val="Default"/>
      </w:pPr>
    </w:p>
    <w:p w14:paraId="38EC7088" w14:textId="77777777" w:rsidR="0002533E" w:rsidRDefault="0002533E" w:rsidP="0002533E">
      <w:pPr>
        <w:pStyle w:val="Default"/>
      </w:pPr>
    </w:p>
    <w:p w14:paraId="61A5F176" w14:textId="77777777" w:rsidR="0002533E" w:rsidRDefault="0002533E" w:rsidP="0002533E">
      <w:pPr>
        <w:pStyle w:val="Default"/>
      </w:pPr>
    </w:p>
    <w:p w14:paraId="362D36D3" w14:textId="77777777" w:rsidR="0002533E" w:rsidRDefault="0002533E" w:rsidP="0002533E">
      <w:pPr>
        <w:pStyle w:val="Default"/>
      </w:pPr>
    </w:p>
    <w:p w14:paraId="7F9D1943" w14:textId="77777777" w:rsidR="0002533E" w:rsidRDefault="0002533E" w:rsidP="0002533E">
      <w:pPr>
        <w:pStyle w:val="Default"/>
      </w:pPr>
    </w:p>
    <w:p w14:paraId="48DF0CA9" w14:textId="77777777" w:rsidR="0002533E" w:rsidRDefault="0002533E" w:rsidP="0002533E">
      <w:pPr>
        <w:pStyle w:val="Default"/>
      </w:pPr>
    </w:p>
    <w:p w14:paraId="2FF589D6" w14:textId="77777777" w:rsidR="0002533E" w:rsidRDefault="0002533E" w:rsidP="0002533E">
      <w:pPr>
        <w:pStyle w:val="Default"/>
      </w:pPr>
    </w:p>
    <w:p w14:paraId="79B5936E" w14:textId="77777777" w:rsidR="0002533E" w:rsidRDefault="0002533E" w:rsidP="0002533E">
      <w:pPr>
        <w:pStyle w:val="Default"/>
      </w:pPr>
    </w:p>
    <w:p w14:paraId="45E5E81C" w14:textId="77777777" w:rsidR="0002533E" w:rsidRDefault="0002533E" w:rsidP="0002533E">
      <w:pPr>
        <w:pStyle w:val="Default"/>
      </w:pPr>
    </w:p>
    <w:p w14:paraId="20064B79" w14:textId="77777777" w:rsidR="00C46CB2" w:rsidRDefault="00C46CB2" w:rsidP="0002533E">
      <w:pPr>
        <w:pStyle w:val="Default"/>
        <w:jc w:val="right"/>
      </w:pPr>
    </w:p>
    <w:p w14:paraId="2C8A1782" w14:textId="412817D7" w:rsidR="0016026E" w:rsidRPr="001078CA" w:rsidRDefault="00DC6D7E" w:rsidP="001078CA">
      <w:pPr>
        <w:pStyle w:val="Default"/>
        <w:jc w:val="center"/>
        <w:rPr>
          <w:rFonts w:ascii="Arial" w:hAnsi="Arial" w:cs="Arial"/>
          <w:b/>
          <w:color w:val="365F91" w:themeColor="accent1" w:themeShade="BF"/>
          <w:sz w:val="260"/>
          <w:szCs w:val="86"/>
        </w:rPr>
      </w:pPr>
      <w:r w:rsidRPr="001078CA">
        <w:rPr>
          <w:rFonts w:ascii="Arial" w:hAnsi="Arial" w:cs="Arial"/>
          <w:b/>
          <w:color w:val="365F91" w:themeColor="accent1" w:themeShade="BF"/>
          <w:sz w:val="56"/>
        </w:rPr>
        <w:t>C</w:t>
      </w:r>
      <w:r w:rsidR="00191A30" w:rsidRPr="001078CA">
        <w:rPr>
          <w:rFonts w:ascii="Arial" w:hAnsi="Arial" w:cs="Arial"/>
          <w:b/>
          <w:color w:val="365F91" w:themeColor="accent1" w:themeShade="BF"/>
          <w:sz w:val="56"/>
        </w:rPr>
        <w:t xml:space="preserve">riterios y </w:t>
      </w:r>
      <w:r w:rsidRPr="001078CA">
        <w:rPr>
          <w:rFonts w:ascii="Arial" w:hAnsi="Arial" w:cs="Arial"/>
          <w:b/>
          <w:color w:val="365F91" w:themeColor="accent1" w:themeShade="BF"/>
          <w:sz w:val="56"/>
          <w:lang w:val="es-UY"/>
        </w:rPr>
        <w:t xml:space="preserve">Lineamientos para </w:t>
      </w:r>
      <w:r w:rsidR="00191A30" w:rsidRPr="001078CA">
        <w:rPr>
          <w:rFonts w:ascii="Arial" w:hAnsi="Arial" w:cs="Arial"/>
          <w:b/>
          <w:color w:val="365F91" w:themeColor="accent1" w:themeShade="BF"/>
          <w:sz w:val="56"/>
          <w:lang w:val="es-UY"/>
        </w:rPr>
        <w:t>la</w:t>
      </w:r>
      <w:r w:rsidR="001078CA">
        <w:rPr>
          <w:rFonts w:ascii="Arial" w:hAnsi="Arial" w:cs="Arial"/>
          <w:b/>
          <w:color w:val="365F91" w:themeColor="accent1" w:themeShade="BF"/>
          <w:sz w:val="56"/>
          <w:lang w:val="es-UY"/>
        </w:rPr>
        <w:t xml:space="preserve"> </w:t>
      </w:r>
      <w:r w:rsidR="00191A30" w:rsidRPr="001078CA">
        <w:rPr>
          <w:rFonts w:ascii="Arial" w:hAnsi="Arial" w:cs="Arial"/>
          <w:b/>
          <w:color w:val="365F91" w:themeColor="accent1" w:themeShade="BF"/>
          <w:sz w:val="56"/>
          <w:lang w:val="es-UY"/>
        </w:rPr>
        <w:t>presentación de Solicitudes de Autorización y Notificación de Concentraciones Económicas</w:t>
      </w:r>
    </w:p>
    <w:p w14:paraId="48B492B2" w14:textId="77777777" w:rsidR="0002533E" w:rsidRPr="00555807" w:rsidRDefault="0002533E" w:rsidP="0002533E">
      <w:pPr>
        <w:pStyle w:val="Default"/>
        <w:jc w:val="right"/>
        <w:rPr>
          <w:color w:val="1F497D" w:themeColor="text2"/>
          <w:sz w:val="86"/>
          <w:szCs w:val="86"/>
        </w:rPr>
      </w:pPr>
    </w:p>
    <w:p w14:paraId="278C3215" w14:textId="77777777" w:rsidR="0002533E" w:rsidRPr="00555807" w:rsidRDefault="0002533E" w:rsidP="0002533E">
      <w:pPr>
        <w:pStyle w:val="Default"/>
        <w:rPr>
          <w:rFonts w:ascii="Arial" w:hAnsi="Arial" w:cs="Arial"/>
          <w:color w:val="1F497D" w:themeColor="text2"/>
          <w:sz w:val="56"/>
          <w:szCs w:val="56"/>
        </w:rPr>
      </w:pPr>
      <w:r w:rsidRPr="00555807">
        <w:rPr>
          <w:rFonts w:cstheme="minorBidi"/>
          <w:color w:val="1F497D" w:themeColor="text2"/>
        </w:rPr>
        <w:lastRenderedPageBreak/>
        <w:t xml:space="preserve"> </w:t>
      </w:r>
    </w:p>
    <w:p w14:paraId="486A2473" w14:textId="3A8870C9" w:rsidR="0016026E" w:rsidRPr="005E46EB" w:rsidRDefault="00EE107B" w:rsidP="0002533E">
      <w:pPr>
        <w:pStyle w:val="Default"/>
        <w:ind w:left="6372"/>
        <w:jc w:val="right"/>
        <w:rPr>
          <w:rFonts w:ascii="Arial" w:hAnsi="Arial" w:cs="Arial"/>
          <w:b/>
          <w:bCs/>
          <w:color w:val="1F497D" w:themeColor="text2"/>
          <w:sz w:val="32"/>
          <w:szCs w:val="32"/>
        </w:rPr>
      </w:pPr>
      <w:r w:rsidRPr="005E46EB">
        <w:rPr>
          <w:rFonts w:ascii="Arial" w:hAnsi="Arial" w:cs="Arial"/>
          <w:b/>
          <w:bCs/>
          <w:color w:val="1F497D" w:themeColor="text2"/>
          <w:sz w:val="32"/>
          <w:szCs w:val="32"/>
        </w:rPr>
        <w:t>ENERO</w:t>
      </w:r>
    </w:p>
    <w:p w14:paraId="2B051AEF" w14:textId="09873415" w:rsidR="0002533E" w:rsidRDefault="0002533E" w:rsidP="0002533E">
      <w:pPr>
        <w:pStyle w:val="Default"/>
        <w:ind w:left="6372"/>
        <w:jc w:val="right"/>
        <w:rPr>
          <w:rFonts w:ascii="Arial" w:hAnsi="Arial" w:cs="Arial"/>
          <w:b/>
          <w:bCs/>
          <w:color w:val="1F497D" w:themeColor="text2"/>
          <w:sz w:val="32"/>
          <w:szCs w:val="32"/>
        </w:rPr>
      </w:pPr>
      <w:r w:rsidRPr="005E46EB">
        <w:rPr>
          <w:rFonts w:ascii="Arial" w:hAnsi="Arial" w:cs="Arial"/>
          <w:b/>
          <w:bCs/>
          <w:color w:val="1F497D" w:themeColor="text2"/>
          <w:sz w:val="32"/>
          <w:szCs w:val="32"/>
        </w:rPr>
        <w:t>20</w:t>
      </w:r>
      <w:r w:rsidR="00C46CB2" w:rsidRPr="005E46EB">
        <w:rPr>
          <w:rFonts w:ascii="Arial" w:hAnsi="Arial" w:cs="Arial"/>
          <w:b/>
          <w:bCs/>
          <w:color w:val="1F497D" w:themeColor="text2"/>
          <w:sz w:val="32"/>
          <w:szCs w:val="32"/>
        </w:rPr>
        <w:t>2</w:t>
      </w:r>
      <w:r w:rsidR="00EE107B" w:rsidRPr="005E46EB">
        <w:rPr>
          <w:rFonts w:ascii="Arial" w:hAnsi="Arial" w:cs="Arial"/>
          <w:b/>
          <w:bCs/>
          <w:color w:val="1F497D" w:themeColor="text2"/>
          <w:sz w:val="32"/>
          <w:szCs w:val="32"/>
        </w:rPr>
        <w:t>6</w:t>
      </w:r>
    </w:p>
    <w:p w14:paraId="22E5C75F" w14:textId="641E54C3" w:rsidR="001078CA" w:rsidRDefault="001078CA" w:rsidP="0002533E">
      <w:pPr>
        <w:pStyle w:val="Default"/>
        <w:ind w:left="6372"/>
        <w:jc w:val="right"/>
        <w:rPr>
          <w:rFonts w:ascii="Arial" w:hAnsi="Arial" w:cs="Arial"/>
          <w:b/>
          <w:bCs/>
          <w:color w:val="1F497D" w:themeColor="text2"/>
          <w:sz w:val="56"/>
          <w:szCs w:val="56"/>
        </w:rPr>
      </w:pPr>
    </w:p>
    <w:p w14:paraId="7AA6A117" w14:textId="657EF0E8" w:rsidR="001078CA" w:rsidRDefault="001078CA" w:rsidP="0002533E">
      <w:pPr>
        <w:pStyle w:val="Default"/>
        <w:ind w:left="6372"/>
        <w:jc w:val="right"/>
        <w:rPr>
          <w:rFonts w:ascii="Arial" w:hAnsi="Arial" w:cs="Arial"/>
          <w:b/>
          <w:bCs/>
          <w:color w:val="1F497D" w:themeColor="text2"/>
          <w:sz w:val="56"/>
          <w:szCs w:val="56"/>
        </w:rPr>
      </w:pPr>
    </w:p>
    <w:p w14:paraId="51ECD05E" w14:textId="0502890F" w:rsidR="001078CA" w:rsidRDefault="001078CA" w:rsidP="0002533E">
      <w:pPr>
        <w:pStyle w:val="Default"/>
        <w:ind w:left="6372"/>
        <w:jc w:val="right"/>
        <w:rPr>
          <w:rFonts w:ascii="Arial" w:hAnsi="Arial" w:cs="Arial"/>
          <w:b/>
          <w:bCs/>
          <w:color w:val="1F497D" w:themeColor="text2"/>
          <w:sz w:val="56"/>
          <w:szCs w:val="56"/>
        </w:rPr>
      </w:pPr>
    </w:p>
    <w:p w14:paraId="4D50AEEF" w14:textId="2B53E04A" w:rsidR="001078CA" w:rsidRDefault="001078CA" w:rsidP="0002533E">
      <w:pPr>
        <w:pStyle w:val="Default"/>
        <w:ind w:left="6372"/>
        <w:jc w:val="right"/>
        <w:rPr>
          <w:rFonts w:ascii="Arial" w:hAnsi="Arial" w:cs="Arial"/>
          <w:b/>
          <w:bCs/>
          <w:color w:val="1F497D" w:themeColor="text2"/>
          <w:sz w:val="56"/>
          <w:szCs w:val="56"/>
        </w:rPr>
      </w:pPr>
    </w:p>
    <w:p w14:paraId="4BD04C13" w14:textId="77777777" w:rsidR="001078CA" w:rsidRPr="005E46EB" w:rsidRDefault="001078CA" w:rsidP="0002533E">
      <w:pPr>
        <w:pStyle w:val="Default"/>
        <w:ind w:left="6372"/>
        <w:jc w:val="right"/>
        <w:rPr>
          <w:rFonts w:ascii="Arial" w:hAnsi="Arial" w:cs="Arial"/>
          <w:b/>
          <w:bCs/>
          <w:color w:val="1F497D" w:themeColor="text2"/>
          <w:sz w:val="56"/>
          <w:szCs w:val="56"/>
        </w:rPr>
      </w:pPr>
    </w:p>
    <w:sdt>
      <w:sdtPr>
        <w:rPr>
          <w:rFonts w:asciiTheme="minorHAnsi" w:eastAsiaTheme="minorHAnsi" w:hAnsiTheme="minorHAnsi" w:cstheme="minorBidi"/>
          <w:color w:val="auto"/>
          <w:sz w:val="22"/>
          <w:szCs w:val="22"/>
          <w:lang w:val="es-ES" w:eastAsia="en-US"/>
        </w:rPr>
        <w:id w:val="-1524235280"/>
        <w:docPartObj>
          <w:docPartGallery w:val="Table of Contents"/>
          <w:docPartUnique/>
        </w:docPartObj>
      </w:sdtPr>
      <w:sdtEndPr>
        <w:rPr>
          <w:b/>
          <w:bCs/>
        </w:rPr>
      </w:sdtEndPr>
      <w:sdtContent>
        <w:p w14:paraId="4112D76F" w14:textId="504A3F03" w:rsidR="002E2116" w:rsidRPr="00D06F61" w:rsidRDefault="00D06F61" w:rsidP="00D06F61">
          <w:pPr>
            <w:pStyle w:val="TtuloTDC"/>
            <w:spacing w:line="360" w:lineRule="auto"/>
            <w:rPr>
              <w:rFonts w:ascii="Arial" w:hAnsi="Arial" w:cs="Arial"/>
              <w:b/>
              <w:bCs/>
              <w:sz w:val="48"/>
              <w:szCs w:val="48"/>
            </w:rPr>
          </w:pPr>
          <w:r w:rsidRPr="00D06F61">
            <w:rPr>
              <w:rFonts w:ascii="Arial" w:hAnsi="Arial" w:cs="Arial"/>
              <w:b/>
              <w:bCs/>
              <w:sz w:val="48"/>
              <w:szCs w:val="48"/>
              <w:lang w:val="es-ES"/>
            </w:rPr>
            <w:t>ÍNDICE</w:t>
          </w:r>
        </w:p>
        <w:p w14:paraId="70C95B6C" w14:textId="4EDED6CF" w:rsidR="005B11A3" w:rsidRPr="005B11A3" w:rsidRDefault="002E2116">
          <w:pPr>
            <w:pStyle w:val="TDC1"/>
            <w:tabs>
              <w:tab w:val="right" w:leader="dot" w:pos="8494"/>
            </w:tabs>
            <w:rPr>
              <w:rFonts w:ascii="Arial" w:eastAsiaTheme="minorEastAsia" w:hAnsi="Arial" w:cs="Arial"/>
              <w:b/>
              <w:noProof/>
              <w:color w:val="365F91" w:themeColor="accent1" w:themeShade="BF"/>
              <w:sz w:val="24"/>
              <w:lang w:val="es-UY" w:eastAsia="es-UY"/>
            </w:rPr>
          </w:pPr>
          <w:r w:rsidRPr="005B11A3">
            <w:rPr>
              <w:rFonts w:ascii="Arial" w:hAnsi="Arial" w:cs="Arial"/>
              <w:b/>
              <w:color w:val="365F91" w:themeColor="accent1" w:themeShade="BF"/>
              <w:sz w:val="32"/>
              <w:szCs w:val="28"/>
            </w:rPr>
            <w:fldChar w:fldCharType="begin"/>
          </w:r>
          <w:r w:rsidRPr="005B11A3">
            <w:rPr>
              <w:rFonts w:ascii="Arial" w:hAnsi="Arial" w:cs="Arial"/>
              <w:b/>
              <w:color w:val="365F91" w:themeColor="accent1" w:themeShade="BF"/>
              <w:sz w:val="32"/>
              <w:szCs w:val="28"/>
            </w:rPr>
            <w:instrText xml:space="preserve"> TOC \o "1-3" \h \z \u </w:instrText>
          </w:r>
          <w:r w:rsidRPr="005B11A3">
            <w:rPr>
              <w:rFonts w:ascii="Arial" w:hAnsi="Arial" w:cs="Arial"/>
              <w:b/>
              <w:color w:val="365F91" w:themeColor="accent1" w:themeShade="BF"/>
              <w:sz w:val="32"/>
              <w:szCs w:val="28"/>
            </w:rPr>
            <w:fldChar w:fldCharType="separate"/>
          </w:r>
          <w:hyperlink w:anchor="_Toc220936990" w:history="1">
            <w:r w:rsidR="005B11A3" w:rsidRPr="005B11A3">
              <w:rPr>
                <w:rStyle w:val="Hipervnculo"/>
                <w:rFonts w:ascii="Arial" w:hAnsi="Arial" w:cs="Arial"/>
                <w:b/>
                <w:noProof/>
                <w:color w:val="365F91" w:themeColor="accent1" w:themeShade="BF"/>
                <w:sz w:val="24"/>
              </w:rPr>
              <w:t>INTRODUCCIÓN</w:t>
            </w:r>
            <w:r w:rsidR="005B11A3" w:rsidRPr="005B11A3">
              <w:rPr>
                <w:rFonts w:ascii="Arial" w:hAnsi="Arial" w:cs="Arial"/>
                <w:b/>
                <w:noProof/>
                <w:webHidden/>
                <w:color w:val="365F91" w:themeColor="accent1" w:themeShade="BF"/>
                <w:sz w:val="24"/>
              </w:rPr>
              <w:tab/>
            </w:r>
            <w:r w:rsidR="005B11A3" w:rsidRPr="005B11A3">
              <w:rPr>
                <w:rFonts w:ascii="Arial" w:hAnsi="Arial" w:cs="Arial"/>
                <w:b/>
                <w:noProof/>
                <w:webHidden/>
                <w:color w:val="365F91" w:themeColor="accent1" w:themeShade="BF"/>
                <w:sz w:val="24"/>
              </w:rPr>
              <w:fldChar w:fldCharType="begin"/>
            </w:r>
            <w:r w:rsidR="005B11A3" w:rsidRPr="005B11A3">
              <w:rPr>
                <w:rFonts w:ascii="Arial" w:hAnsi="Arial" w:cs="Arial"/>
                <w:b/>
                <w:noProof/>
                <w:webHidden/>
                <w:color w:val="365F91" w:themeColor="accent1" w:themeShade="BF"/>
                <w:sz w:val="24"/>
              </w:rPr>
              <w:instrText xml:space="preserve"> PAGEREF _Toc220936990 \h </w:instrText>
            </w:r>
            <w:r w:rsidR="005B11A3" w:rsidRPr="005B11A3">
              <w:rPr>
                <w:rFonts w:ascii="Arial" w:hAnsi="Arial" w:cs="Arial"/>
                <w:b/>
                <w:noProof/>
                <w:webHidden/>
                <w:color w:val="365F91" w:themeColor="accent1" w:themeShade="BF"/>
                <w:sz w:val="24"/>
              </w:rPr>
            </w:r>
            <w:r w:rsidR="005B11A3" w:rsidRPr="005B11A3">
              <w:rPr>
                <w:rFonts w:ascii="Arial" w:hAnsi="Arial" w:cs="Arial"/>
                <w:b/>
                <w:noProof/>
                <w:webHidden/>
                <w:color w:val="365F91" w:themeColor="accent1" w:themeShade="BF"/>
                <w:sz w:val="24"/>
              </w:rPr>
              <w:fldChar w:fldCharType="separate"/>
            </w:r>
            <w:r w:rsidR="005B11A3" w:rsidRPr="005B11A3">
              <w:rPr>
                <w:rFonts w:ascii="Arial" w:hAnsi="Arial" w:cs="Arial"/>
                <w:b/>
                <w:noProof/>
                <w:webHidden/>
                <w:color w:val="365F91" w:themeColor="accent1" w:themeShade="BF"/>
                <w:sz w:val="24"/>
              </w:rPr>
              <w:t>4</w:t>
            </w:r>
            <w:r w:rsidR="005B11A3" w:rsidRPr="005B11A3">
              <w:rPr>
                <w:rFonts w:ascii="Arial" w:hAnsi="Arial" w:cs="Arial"/>
                <w:b/>
                <w:noProof/>
                <w:webHidden/>
                <w:color w:val="365F91" w:themeColor="accent1" w:themeShade="BF"/>
                <w:sz w:val="24"/>
              </w:rPr>
              <w:fldChar w:fldCharType="end"/>
            </w:r>
          </w:hyperlink>
        </w:p>
        <w:p w14:paraId="77C53E49" w14:textId="6FEA8AD9" w:rsidR="005B11A3" w:rsidRPr="005B11A3" w:rsidRDefault="00302CE0">
          <w:pPr>
            <w:pStyle w:val="TDC1"/>
            <w:tabs>
              <w:tab w:val="right" w:leader="dot" w:pos="8494"/>
            </w:tabs>
            <w:rPr>
              <w:rFonts w:ascii="Arial" w:eastAsiaTheme="minorEastAsia" w:hAnsi="Arial" w:cs="Arial"/>
              <w:b/>
              <w:noProof/>
              <w:color w:val="365F91" w:themeColor="accent1" w:themeShade="BF"/>
              <w:sz w:val="24"/>
              <w:lang w:val="es-UY" w:eastAsia="es-UY"/>
            </w:rPr>
          </w:pPr>
          <w:hyperlink w:anchor="_Toc220936991" w:history="1">
            <w:r w:rsidR="005B11A3" w:rsidRPr="005B11A3">
              <w:rPr>
                <w:rStyle w:val="Hipervnculo"/>
                <w:rFonts w:ascii="Arial" w:hAnsi="Arial" w:cs="Arial"/>
                <w:b/>
                <w:noProof/>
                <w:color w:val="365F91" w:themeColor="accent1" w:themeShade="BF"/>
                <w:sz w:val="24"/>
              </w:rPr>
              <w:t>CONCEPTO DE OPERACIÓN DE CONCENTRACIÓN</w:t>
            </w:r>
            <w:r w:rsidR="005B11A3" w:rsidRPr="005B11A3">
              <w:rPr>
                <w:rFonts w:ascii="Arial" w:hAnsi="Arial" w:cs="Arial"/>
                <w:b/>
                <w:noProof/>
                <w:webHidden/>
                <w:color w:val="365F91" w:themeColor="accent1" w:themeShade="BF"/>
                <w:sz w:val="24"/>
              </w:rPr>
              <w:tab/>
            </w:r>
            <w:r w:rsidR="005B11A3" w:rsidRPr="005B11A3">
              <w:rPr>
                <w:rFonts w:ascii="Arial" w:hAnsi="Arial" w:cs="Arial"/>
                <w:b/>
                <w:noProof/>
                <w:webHidden/>
                <w:color w:val="365F91" w:themeColor="accent1" w:themeShade="BF"/>
                <w:sz w:val="24"/>
              </w:rPr>
              <w:fldChar w:fldCharType="begin"/>
            </w:r>
            <w:r w:rsidR="005B11A3" w:rsidRPr="005B11A3">
              <w:rPr>
                <w:rFonts w:ascii="Arial" w:hAnsi="Arial" w:cs="Arial"/>
                <w:b/>
                <w:noProof/>
                <w:webHidden/>
                <w:color w:val="365F91" w:themeColor="accent1" w:themeShade="BF"/>
                <w:sz w:val="24"/>
              </w:rPr>
              <w:instrText xml:space="preserve"> PAGEREF _Toc220936991 \h </w:instrText>
            </w:r>
            <w:r w:rsidR="005B11A3" w:rsidRPr="005B11A3">
              <w:rPr>
                <w:rFonts w:ascii="Arial" w:hAnsi="Arial" w:cs="Arial"/>
                <w:b/>
                <w:noProof/>
                <w:webHidden/>
                <w:color w:val="365F91" w:themeColor="accent1" w:themeShade="BF"/>
                <w:sz w:val="24"/>
              </w:rPr>
            </w:r>
            <w:r w:rsidR="005B11A3" w:rsidRPr="005B11A3">
              <w:rPr>
                <w:rFonts w:ascii="Arial" w:hAnsi="Arial" w:cs="Arial"/>
                <w:b/>
                <w:noProof/>
                <w:webHidden/>
                <w:color w:val="365F91" w:themeColor="accent1" w:themeShade="BF"/>
                <w:sz w:val="24"/>
              </w:rPr>
              <w:fldChar w:fldCharType="separate"/>
            </w:r>
            <w:r w:rsidR="005B11A3" w:rsidRPr="005B11A3">
              <w:rPr>
                <w:rFonts w:ascii="Arial" w:hAnsi="Arial" w:cs="Arial"/>
                <w:b/>
                <w:noProof/>
                <w:webHidden/>
                <w:color w:val="365F91" w:themeColor="accent1" w:themeShade="BF"/>
                <w:sz w:val="24"/>
              </w:rPr>
              <w:t>5</w:t>
            </w:r>
            <w:r w:rsidR="005B11A3" w:rsidRPr="005B11A3">
              <w:rPr>
                <w:rFonts w:ascii="Arial" w:hAnsi="Arial" w:cs="Arial"/>
                <w:b/>
                <w:noProof/>
                <w:webHidden/>
                <w:color w:val="365F91" w:themeColor="accent1" w:themeShade="BF"/>
                <w:sz w:val="24"/>
              </w:rPr>
              <w:fldChar w:fldCharType="end"/>
            </w:r>
          </w:hyperlink>
        </w:p>
        <w:p w14:paraId="64F3779E" w14:textId="5AB861EF" w:rsidR="005B11A3" w:rsidRPr="005B11A3" w:rsidRDefault="00302CE0">
          <w:pPr>
            <w:pStyle w:val="TDC1"/>
            <w:tabs>
              <w:tab w:val="right" w:leader="dot" w:pos="8494"/>
            </w:tabs>
            <w:rPr>
              <w:rFonts w:ascii="Arial" w:eastAsiaTheme="minorEastAsia" w:hAnsi="Arial" w:cs="Arial"/>
              <w:b/>
              <w:noProof/>
              <w:color w:val="365F91" w:themeColor="accent1" w:themeShade="BF"/>
              <w:sz w:val="24"/>
              <w:lang w:val="es-UY" w:eastAsia="es-UY"/>
            </w:rPr>
          </w:pPr>
          <w:hyperlink w:anchor="_Toc220936992" w:history="1">
            <w:r w:rsidR="005B11A3" w:rsidRPr="005B11A3">
              <w:rPr>
                <w:rStyle w:val="Hipervnculo"/>
                <w:rFonts w:ascii="Arial" w:hAnsi="Arial" w:cs="Arial"/>
                <w:b/>
                <w:noProof/>
                <w:color w:val="365F91" w:themeColor="accent1" w:themeShade="BF"/>
                <w:sz w:val="24"/>
              </w:rPr>
              <w:t>REQUISITOS DE APLICACIÓN DEL RÉGIMEN DE CONTROL DE CONCENTRACIONES</w:t>
            </w:r>
            <w:r w:rsidR="005B11A3" w:rsidRPr="005B11A3">
              <w:rPr>
                <w:rFonts w:ascii="Arial" w:hAnsi="Arial" w:cs="Arial"/>
                <w:b/>
                <w:noProof/>
                <w:webHidden/>
                <w:color w:val="365F91" w:themeColor="accent1" w:themeShade="BF"/>
                <w:sz w:val="24"/>
              </w:rPr>
              <w:tab/>
            </w:r>
            <w:r w:rsidR="005B11A3" w:rsidRPr="005B11A3">
              <w:rPr>
                <w:rFonts w:ascii="Arial" w:hAnsi="Arial" w:cs="Arial"/>
                <w:b/>
                <w:noProof/>
                <w:webHidden/>
                <w:color w:val="365F91" w:themeColor="accent1" w:themeShade="BF"/>
                <w:sz w:val="24"/>
              </w:rPr>
              <w:fldChar w:fldCharType="begin"/>
            </w:r>
            <w:r w:rsidR="005B11A3" w:rsidRPr="005B11A3">
              <w:rPr>
                <w:rFonts w:ascii="Arial" w:hAnsi="Arial" w:cs="Arial"/>
                <w:b/>
                <w:noProof/>
                <w:webHidden/>
                <w:color w:val="365F91" w:themeColor="accent1" w:themeShade="BF"/>
                <w:sz w:val="24"/>
              </w:rPr>
              <w:instrText xml:space="preserve"> PAGEREF _Toc220936992 \h </w:instrText>
            </w:r>
            <w:r w:rsidR="005B11A3" w:rsidRPr="005B11A3">
              <w:rPr>
                <w:rFonts w:ascii="Arial" w:hAnsi="Arial" w:cs="Arial"/>
                <w:b/>
                <w:noProof/>
                <w:webHidden/>
                <w:color w:val="365F91" w:themeColor="accent1" w:themeShade="BF"/>
                <w:sz w:val="24"/>
              </w:rPr>
            </w:r>
            <w:r w:rsidR="005B11A3" w:rsidRPr="005B11A3">
              <w:rPr>
                <w:rFonts w:ascii="Arial" w:hAnsi="Arial" w:cs="Arial"/>
                <w:b/>
                <w:noProof/>
                <w:webHidden/>
                <w:color w:val="365F91" w:themeColor="accent1" w:themeShade="BF"/>
                <w:sz w:val="24"/>
              </w:rPr>
              <w:fldChar w:fldCharType="separate"/>
            </w:r>
            <w:r w:rsidR="005B11A3" w:rsidRPr="005B11A3">
              <w:rPr>
                <w:rFonts w:ascii="Arial" w:hAnsi="Arial" w:cs="Arial"/>
                <w:b/>
                <w:noProof/>
                <w:webHidden/>
                <w:color w:val="365F91" w:themeColor="accent1" w:themeShade="BF"/>
                <w:sz w:val="24"/>
              </w:rPr>
              <w:t>6</w:t>
            </w:r>
            <w:r w:rsidR="005B11A3" w:rsidRPr="005B11A3">
              <w:rPr>
                <w:rFonts w:ascii="Arial" w:hAnsi="Arial" w:cs="Arial"/>
                <w:b/>
                <w:noProof/>
                <w:webHidden/>
                <w:color w:val="365F91" w:themeColor="accent1" w:themeShade="BF"/>
                <w:sz w:val="24"/>
              </w:rPr>
              <w:fldChar w:fldCharType="end"/>
            </w:r>
          </w:hyperlink>
        </w:p>
        <w:p w14:paraId="6B40E766" w14:textId="6A0F1878" w:rsidR="005B11A3" w:rsidRPr="005B11A3" w:rsidRDefault="00302CE0">
          <w:pPr>
            <w:pStyle w:val="TDC1"/>
            <w:tabs>
              <w:tab w:val="right" w:leader="dot" w:pos="8494"/>
            </w:tabs>
            <w:rPr>
              <w:rFonts w:ascii="Arial" w:eastAsiaTheme="minorEastAsia" w:hAnsi="Arial" w:cs="Arial"/>
              <w:b/>
              <w:noProof/>
              <w:color w:val="365F91" w:themeColor="accent1" w:themeShade="BF"/>
              <w:sz w:val="24"/>
              <w:lang w:val="es-UY" w:eastAsia="es-UY"/>
            </w:rPr>
          </w:pPr>
          <w:hyperlink w:anchor="_Toc220936993" w:history="1">
            <w:r w:rsidR="005B11A3" w:rsidRPr="005B11A3">
              <w:rPr>
                <w:rStyle w:val="Hipervnculo"/>
                <w:rFonts w:ascii="Arial" w:hAnsi="Arial" w:cs="Arial"/>
                <w:b/>
                <w:noProof/>
                <w:color w:val="365F91" w:themeColor="accent1" w:themeShade="BF"/>
                <w:sz w:val="24"/>
              </w:rPr>
              <w:t>CREACIÓN O CAMBIO DE LA ESTRUCTURA DE CONTROL</w:t>
            </w:r>
            <w:r w:rsidR="005B11A3" w:rsidRPr="005B11A3">
              <w:rPr>
                <w:rFonts w:ascii="Arial" w:hAnsi="Arial" w:cs="Arial"/>
                <w:b/>
                <w:noProof/>
                <w:webHidden/>
                <w:color w:val="365F91" w:themeColor="accent1" w:themeShade="BF"/>
                <w:sz w:val="24"/>
              </w:rPr>
              <w:tab/>
            </w:r>
            <w:r w:rsidR="005B11A3" w:rsidRPr="005B11A3">
              <w:rPr>
                <w:rFonts w:ascii="Arial" w:hAnsi="Arial" w:cs="Arial"/>
                <w:b/>
                <w:noProof/>
                <w:webHidden/>
                <w:color w:val="365F91" w:themeColor="accent1" w:themeShade="BF"/>
                <w:sz w:val="24"/>
              </w:rPr>
              <w:fldChar w:fldCharType="begin"/>
            </w:r>
            <w:r w:rsidR="005B11A3" w:rsidRPr="005B11A3">
              <w:rPr>
                <w:rFonts w:ascii="Arial" w:hAnsi="Arial" w:cs="Arial"/>
                <w:b/>
                <w:noProof/>
                <w:webHidden/>
                <w:color w:val="365F91" w:themeColor="accent1" w:themeShade="BF"/>
                <w:sz w:val="24"/>
              </w:rPr>
              <w:instrText xml:space="preserve"> PAGEREF _Toc220936993 \h </w:instrText>
            </w:r>
            <w:r w:rsidR="005B11A3" w:rsidRPr="005B11A3">
              <w:rPr>
                <w:rFonts w:ascii="Arial" w:hAnsi="Arial" w:cs="Arial"/>
                <w:b/>
                <w:noProof/>
                <w:webHidden/>
                <w:color w:val="365F91" w:themeColor="accent1" w:themeShade="BF"/>
                <w:sz w:val="24"/>
              </w:rPr>
            </w:r>
            <w:r w:rsidR="005B11A3" w:rsidRPr="005B11A3">
              <w:rPr>
                <w:rFonts w:ascii="Arial" w:hAnsi="Arial" w:cs="Arial"/>
                <w:b/>
                <w:noProof/>
                <w:webHidden/>
                <w:color w:val="365F91" w:themeColor="accent1" w:themeShade="BF"/>
                <w:sz w:val="24"/>
              </w:rPr>
              <w:fldChar w:fldCharType="separate"/>
            </w:r>
            <w:r w:rsidR="005B11A3" w:rsidRPr="005B11A3">
              <w:rPr>
                <w:rFonts w:ascii="Arial" w:hAnsi="Arial" w:cs="Arial"/>
                <w:b/>
                <w:noProof/>
                <w:webHidden/>
                <w:color w:val="365F91" w:themeColor="accent1" w:themeShade="BF"/>
                <w:sz w:val="24"/>
              </w:rPr>
              <w:t>7</w:t>
            </w:r>
            <w:r w:rsidR="005B11A3" w:rsidRPr="005B11A3">
              <w:rPr>
                <w:rFonts w:ascii="Arial" w:hAnsi="Arial" w:cs="Arial"/>
                <w:b/>
                <w:noProof/>
                <w:webHidden/>
                <w:color w:val="365F91" w:themeColor="accent1" w:themeShade="BF"/>
                <w:sz w:val="24"/>
              </w:rPr>
              <w:fldChar w:fldCharType="end"/>
            </w:r>
          </w:hyperlink>
        </w:p>
        <w:p w14:paraId="33FA2FB0" w14:textId="57F5D9FF" w:rsidR="005B11A3" w:rsidRPr="005B11A3" w:rsidRDefault="00302CE0">
          <w:pPr>
            <w:pStyle w:val="TDC1"/>
            <w:tabs>
              <w:tab w:val="right" w:leader="dot" w:pos="8494"/>
            </w:tabs>
            <w:rPr>
              <w:rFonts w:ascii="Arial" w:eastAsiaTheme="minorEastAsia" w:hAnsi="Arial" w:cs="Arial"/>
              <w:b/>
              <w:noProof/>
              <w:color w:val="365F91" w:themeColor="accent1" w:themeShade="BF"/>
              <w:sz w:val="24"/>
              <w:lang w:val="es-UY" w:eastAsia="es-UY"/>
            </w:rPr>
          </w:pPr>
          <w:hyperlink w:anchor="_Toc220936994" w:history="1">
            <w:r w:rsidR="005B11A3" w:rsidRPr="005B11A3">
              <w:rPr>
                <w:rStyle w:val="Hipervnculo"/>
                <w:rFonts w:ascii="Arial" w:hAnsi="Arial" w:cs="Arial"/>
                <w:b/>
                <w:noProof/>
                <w:color w:val="365F91" w:themeColor="accent1" w:themeShade="BF"/>
                <w:sz w:val="24"/>
              </w:rPr>
              <w:t>UMBRALES DE FACTURACIÓN</w:t>
            </w:r>
            <w:r w:rsidR="005B11A3" w:rsidRPr="005B11A3">
              <w:rPr>
                <w:rFonts w:ascii="Arial" w:hAnsi="Arial" w:cs="Arial"/>
                <w:b/>
                <w:noProof/>
                <w:webHidden/>
                <w:color w:val="365F91" w:themeColor="accent1" w:themeShade="BF"/>
                <w:sz w:val="24"/>
              </w:rPr>
              <w:tab/>
            </w:r>
            <w:r w:rsidR="005B11A3" w:rsidRPr="005B11A3">
              <w:rPr>
                <w:rFonts w:ascii="Arial" w:hAnsi="Arial" w:cs="Arial"/>
                <w:b/>
                <w:noProof/>
                <w:webHidden/>
                <w:color w:val="365F91" w:themeColor="accent1" w:themeShade="BF"/>
                <w:sz w:val="24"/>
              </w:rPr>
              <w:fldChar w:fldCharType="begin"/>
            </w:r>
            <w:r w:rsidR="005B11A3" w:rsidRPr="005B11A3">
              <w:rPr>
                <w:rFonts w:ascii="Arial" w:hAnsi="Arial" w:cs="Arial"/>
                <w:b/>
                <w:noProof/>
                <w:webHidden/>
                <w:color w:val="365F91" w:themeColor="accent1" w:themeShade="BF"/>
                <w:sz w:val="24"/>
              </w:rPr>
              <w:instrText xml:space="preserve"> PAGEREF _Toc220936994 \h </w:instrText>
            </w:r>
            <w:r w:rsidR="005B11A3" w:rsidRPr="005B11A3">
              <w:rPr>
                <w:rFonts w:ascii="Arial" w:hAnsi="Arial" w:cs="Arial"/>
                <w:b/>
                <w:noProof/>
                <w:webHidden/>
                <w:color w:val="365F91" w:themeColor="accent1" w:themeShade="BF"/>
                <w:sz w:val="24"/>
              </w:rPr>
            </w:r>
            <w:r w:rsidR="005B11A3" w:rsidRPr="005B11A3">
              <w:rPr>
                <w:rFonts w:ascii="Arial" w:hAnsi="Arial" w:cs="Arial"/>
                <w:b/>
                <w:noProof/>
                <w:webHidden/>
                <w:color w:val="365F91" w:themeColor="accent1" w:themeShade="BF"/>
                <w:sz w:val="24"/>
              </w:rPr>
              <w:fldChar w:fldCharType="separate"/>
            </w:r>
            <w:r w:rsidR="005B11A3" w:rsidRPr="005B11A3">
              <w:rPr>
                <w:rFonts w:ascii="Arial" w:hAnsi="Arial" w:cs="Arial"/>
                <w:b/>
                <w:noProof/>
                <w:webHidden/>
                <w:color w:val="365F91" w:themeColor="accent1" w:themeShade="BF"/>
                <w:sz w:val="24"/>
              </w:rPr>
              <w:t>17</w:t>
            </w:r>
            <w:r w:rsidR="005B11A3" w:rsidRPr="005B11A3">
              <w:rPr>
                <w:rFonts w:ascii="Arial" w:hAnsi="Arial" w:cs="Arial"/>
                <w:b/>
                <w:noProof/>
                <w:webHidden/>
                <w:color w:val="365F91" w:themeColor="accent1" w:themeShade="BF"/>
                <w:sz w:val="24"/>
              </w:rPr>
              <w:fldChar w:fldCharType="end"/>
            </w:r>
          </w:hyperlink>
        </w:p>
        <w:p w14:paraId="200441B0" w14:textId="77D7906E" w:rsidR="005B11A3" w:rsidRPr="005B11A3" w:rsidRDefault="00302CE0">
          <w:pPr>
            <w:pStyle w:val="TDC1"/>
            <w:tabs>
              <w:tab w:val="right" w:leader="dot" w:pos="8494"/>
            </w:tabs>
            <w:rPr>
              <w:rFonts w:ascii="Arial" w:eastAsiaTheme="minorEastAsia" w:hAnsi="Arial" w:cs="Arial"/>
              <w:b/>
              <w:noProof/>
              <w:color w:val="365F91" w:themeColor="accent1" w:themeShade="BF"/>
              <w:sz w:val="24"/>
              <w:lang w:val="es-UY" w:eastAsia="es-UY"/>
            </w:rPr>
          </w:pPr>
          <w:hyperlink w:anchor="_Toc220936995" w:history="1">
            <w:r w:rsidR="005B11A3" w:rsidRPr="005B11A3">
              <w:rPr>
                <w:rStyle w:val="Hipervnculo"/>
                <w:rFonts w:ascii="Arial" w:hAnsi="Arial" w:cs="Arial"/>
                <w:b/>
                <w:noProof/>
                <w:color w:val="365F91" w:themeColor="accent1" w:themeShade="BF"/>
                <w:sz w:val="24"/>
              </w:rPr>
              <w:t>OPORTUNIDAD DEL REPORTE DE LA OPERACIÓN ANTE COPRODEC</w:t>
            </w:r>
            <w:r w:rsidR="005B11A3" w:rsidRPr="005B11A3">
              <w:rPr>
                <w:rFonts w:ascii="Arial" w:hAnsi="Arial" w:cs="Arial"/>
                <w:b/>
                <w:noProof/>
                <w:webHidden/>
                <w:color w:val="365F91" w:themeColor="accent1" w:themeShade="BF"/>
                <w:sz w:val="24"/>
              </w:rPr>
              <w:tab/>
            </w:r>
            <w:r w:rsidR="005B11A3" w:rsidRPr="005B11A3">
              <w:rPr>
                <w:rFonts w:ascii="Arial" w:hAnsi="Arial" w:cs="Arial"/>
                <w:b/>
                <w:noProof/>
                <w:webHidden/>
                <w:color w:val="365F91" w:themeColor="accent1" w:themeShade="BF"/>
                <w:sz w:val="24"/>
              </w:rPr>
              <w:fldChar w:fldCharType="begin"/>
            </w:r>
            <w:r w:rsidR="005B11A3" w:rsidRPr="005B11A3">
              <w:rPr>
                <w:rFonts w:ascii="Arial" w:hAnsi="Arial" w:cs="Arial"/>
                <w:b/>
                <w:noProof/>
                <w:webHidden/>
                <w:color w:val="365F91" w:themeColor="accent1" w:themeShade="BF"/>
                <w:sz w:val="24"/>
              </w:rPr>
              <w:instrText xml:space="preserve"> PAGEREF _Toc220936995 \h </w:instrText>
            </w:r>
            <w:r w:rsidR="005B11A3" w:rsidRPr="005B11A3">
              <w:rPr>
                <w:rFonts w:ascii="Arial" w:hAnsi="Arial" w:cs="Arial"/>
                <w:b/>
                <w:noProof/>
                <w:webHidden/>
                <w:color w:val="365F91" w:themeColor="accent1" w:themeShade="BF"/>
                <w:sz w:val="24"/>
              </w:rPr>
            </w:r>
            <w:r w:rsidR="005B11A3" w:rsidRPr="005B11A3">
              <w:rPr>
                <w:rFonts w:ascii="Arial" w:hAnsi="Arial" w:cs="Arial"/>
                <w:b/>
                <w:noProof/>
                <w:webHidden/>
                <w:color w:val="365F91" w:themeColor="accent1" w:themeShade="BF"/>
                <w:sz w:val="24"/>
              </w:rPr>
              <w:fldChar w:fldCharType="separate"/>
            </w:r>
            <w:r w:rsidR="005B11A3" w:rsidRPr="005B11A3">
              <w:rPr>
                <w:rFonts w:ascii="Arial" w:hAnsi="Arial" w:cs="Arial"/>
                <w:b/>
                <w:noProof/>
                <w:webHidden/>
                <w:color w:val="365F91" w:themeColor="accent1" w:themeShade="BF"/>
                <w:sz w:val="24"/>
              </w:rPr>
              <w:t>22</w:t>
            </w:r>
            <w:r w:rsidR="005B11A3" w:rsidRPr="005B11A3">
              <w:rPr>
                <w:rFonts w:ascii="Arial" w:hAnsi="Arial" w:cs="Arial"/>
                <w:b/>
                <w:noProof/>
                <w:webHidden/>
                <w:color w:val="365F91" w:themeColor="accent1" w:themeShade="BF"/>
                <w:sz w:val="24"/>
              </w:rPr>
              <w:fldChar w:fldCharType="end"/>
            </w:r>
          </w:hyperlink>
        </w:p>
        <w:p w14:paraId="5E58D31A" w14:textId="48C5D482" w:rsidR="005B11A3" w:rsidRPr="005B11A3" w:rsidRDefault="00302CE0">
          <w:pPr>
            <w:pStyle w:val="TDC1"/>
            <w:tabs>
              <w:tab w:val="right" w:leader="dot" w:pos="8494"/>
            </w:tabs>
            <w:rPr>
              <w:rFonts w:ascii="Arial" w:eastAsiaTheme="minorEastAsia" w:hAnsi="Arial" w:cs="Arial"/>
              <w:b/>
              <w:noProof/>
              <w:color w:val="365F91" w:themeColor="accent1" w:themeShade="BF"/>
              <w:sz w:val="24"/>
              <w:lang w:val="es-UY" w:eastAsia="es-UY"/>
            </w:rPr>
          </w:pPr>
          <w:hyperlink w:anchor="_Toc220936996" w:history="1">
            <w:r w:rsidR="005B11A3" w:rsidRPr="005B11A3">
              <w:rPr>
                <w:rStyle w:val="Hipervnculo"/>
                <w:rFonts w:ascii="Arial" w:hAnsi="Arial" w:cs="Arial"/>
                <w:b/>
                <w:noProof/>
                <w:color w:val="365F91" w:themeColor="accent1" w:themeShade="BF"/>
                <w:sz w:val="24"/>
              </w:rPr>
              <w:t>CONTENIDO DEL REPORTE ANTE COPRODEC</w:t>
            </w:r>
            <w:r w:rsidR="005B11A3" w:rsidRPr="005B11A3">
              <w:rPr>
                <w:rFonts w:ascii="Arial" w:hAnsi="Arial" w:cs="Arial"/>
                <w:b/>
                <w:noProof/>
                <w:webHidden/>
                <w:color w:val="365F91" w:themeColor="accent1" w:themeShade="BF"/>
                <w:sz w:val="24"/>
              </w:rPr>
              <w:tab/>
            </w:r>
            <w:r w:rsidR="005B11A3" w:rsidRPr="005B11A3">
              <w:rPr>
                <w:rFonts w:ascii="Arial" w:hAnsi="Arial" w:cs="Arial"/>
                <w:b/>
                <w:noProof/>
                <w:webHidden/>
                <w:color w:val="365F91" w:themeColor="accent1" w:themeShade="BF"/>
                <w:sz w:val="24"/>
              </w:rPr>
              <w:fldChar w:fldCharType="begin"/>
            </w:r>
            <w:r w:rsidR="005B11A3" w:rsidRPr="005B11A3">
              <w:rPr>
                <w:rFonts w:ascii="Arial" w:hAnsi="Arial" w:cs="Arial"/>
                <w:b/>
                <w:noProof/>
                <w:webHidden/>
                <w:color w:val="365F91" w:themeColor="accent1" w:themeShade="BF"/>
                <w:sz w:val="24"/>
              </w:rPr>
              <w:instrText xml:space="preserve"> PAGEREF _Toc220936996 \h </w:instrText>
            </w:r>
            <w:r w:rsidR="005B11A3" w:rsidRPr="005B11A3">
              <w:rPr>
                <w:rFonts w:ascii="Arial" w:hAnsi="Arial" w:cs="Arial"/>
                <w:b/>
                <w:noProof/>
                <w:webHidden/>
                <w:color w:val="365F91" w:themeColor="accent1" w:themeShade="BF"/>
                <w:sz w:val="24"/>
              </w:rPr>
            </w:r>
            <w:r w:rsidR="005B11A3" w:rsidRPr="005B11A3">
              <w:rPr>
                <w:rFonts w:ascii="Arial" w:hAnsi="Arial" w:cs="Arial"/>
                <w:b/>
                <w:noProof/>
                <w:webHidden/>
                <w:color w:val="365F91" w:themeColor="accent1" w:themeShade="BF"/>
                <w:sz w:val="24"/>
              </w:rPr>
              <w:fldChar w:fldCharType="separate"/>
            </w:r>
            <w:r w:rsidR="005B11A3" w:rsidRPr="005B11A3">
              <w:rPr>
                <w:rFonts w:ascii="Arial" w:hAnsi="Arial" w:cs="Arial"/>
                <w:b/>
                <w:noProof/>
                <w:webHidden/>
                <w:color w:val="365F91" w:themeColor="accent1" w:themeShade="BF"/>
                <w:sz w:val="24"/>
              </w:rPr>
              <w:t>24</w:t>
            </w:r>
            <w:r w:rsidR="005B11A3" w:rsidRPr="005B11A3">
              <w:rPr>
                <w:rFonts w:ascii="Arial" w:hAnsi="Arial" w:cs="Arial"/>
                <w:b/>
                <w:noProof/>
                <w:webHidden/>
                <w:color w:val="365F91" w:themeColor="accent1" w:themeShade="BF"/>
                <w:sz w:val="24"/>
              </w:rPr>
              <w:fldChar w:fldCharType="end"/>
            </w:r>
          </w:hyperlink>
        </w:p>
        <w:p w14:paraId="10A7884E" w14:textId="79DEC425" w:rsidR="005B11A3" w:rsidRPr="005B11A3" w:rsidRDefault="00302CE0">
          <w:pPr>
            <w:pStyle w:val="TDC1"/>
            <w:tabs>
              <w:tab w:val="right" w:leader="dot" w:pos="8494"/>
            </w:tabs>
            <w:rPr>
              <w:rFonts w:ascii="Arial" w:eastAsiaTheme="minorEastAsia" w:hAnsi="Arial" w:cs="Arial"/>
              <w:b/>
              <w:noProof/>
              <w:color w:val="365F91" w:themeColor="accent1" w:themeShade="BF"/>
              <w:sz w:val="24"/>
              <w:lang w:val="es-UY" w:eastAsia="es-UY"/>
            </w:rPr>
          </w:pPr>
          <w:hyperlink w:anchor="_Toc220936997" w:history="1">
            <w:r w:rsidR="005B11A3" w:rsidRPr="005B11A3">
              <w:rPr>
                <w:rStyle w:val="Hipervnculo"/>
                <w:rFonts w:ascii="Arial" w:hAnsi="Arial" w:cs="Arial"/>
                <w:b/>
                <w:noProof/>
                <w:color w:val="365F91" w:themeColor="accent1" w:themeShade="BF"/>
                <w:sz w:val="24"/>
              </w:rPr>
              <w:t>PROCEDIMIENTO</w:t>
            </w:r>
            <w:r w:rsidR="005B11A3" w:rsidRPr="005B11A3">
              <w:rPr>
                <w:rFonts w:ascii="Arial" w:hAnsi="Arial" w:cs="Arial"/>
                <w:b/>
                <w:noProof/>
                <w:webHidden/>
                <w:color w:val="365F91" w:themeColor="accent1" w:themeShade="BF"/>
                <w:sz w:val="24"/>
              </w:rPr>
              <w:tab/>
            </w:r>
            <w:r w:rsidR="005B11A3" w:rsidRPr="005B11A3">
              <w:rPr>
                <w:rFonts w:ascii="Arial" w:hAnsi="Arial" w:cs="Arial"/>
                <w:b/>
                <w:noProof/>
                <w:webHidden/>
                <w:color w:val="365F91" w:themeColor="accent1" w:themeShade="BF"/>
                <w:sz w:val="24"/>
              </w:rPr>
              <w:fldChar w:fldCharType="begin"/>
            </w:r>
            <w:r w:rsidR="005B11A3" w:rsidRPr="005B11A3">
              <w:rPr>
                <w:rFonts w:ascii="Arial" w:hAnsi="Arial" w:cs="Arial"/>
                <w:b/>
                <w:noProof/>
                <w:webHidden/>
                <w:color w:val="365F91" w:themeColor="accent1" w:themeShade="BF"/>
                <w:sz w:val="24"/>
              </w:rPr>
              <w:instrText xml:space="preserve"> PAGEREF _Toc220936997 \h </w:instrText>
            </w:r>
            <w:r w:rsidR="005B11A3" w:rsidRPr="005B11A3">
              <w:rPr>
                <w:rFonts w:ascii="Arial" w:hAnsi="Arial" w:cs="Arial"/>
                <w:b/>
                <w:noProof/>
                <w:webHidden/>
                <w:color w:val="365F91" w:themeColor="accent1" w:themeShade="BF"/>
                <w:sz w:val="24"/>
              </w:rPr>
            </w:r>
            <w:r w:rsidR="005B11A3" w:rsidRPr="005B11A3">
              <w:rPr>
                <w:rFonts w:ascii="Arial" w:hAnsi="Arial" w:cs="Arial"/>
                <w:b/>
                <w:noProof/>
                <w:webHidden/>
                <w:color w:val="365F91" w:themeColor="accent1" w:themeShade="BF"/>
                <w:sz w:val="24"/>
              </w:rPr>
              <w:fldChar w:fldCharType="separate"/>
            </w:r>
            <w:r w:rsidR="005B11A3" w:rsidRPr="005B11A3">
              <w:rPr>
                <w:rFonts w:ascii="Arial" w:hAnsi="Arial" w:cs="Arial"/>
                <w:b/>
                <w:noProof/>
                <w:webHidden/>
                <w:color w:val="365F91" w:themeColor="accent1" w:themeShade="BF"/>
                <w:sz w:val="24"/>
              </w:rPr>
              <w:t>25</w:t>
            </w:r>
            <w:r w:rsidR="005B11A3" w:rsidRPr="005B11A3">
              <w:rPr>
                <w:rFonts w:ascii="Arial" w:hAnsi="Arial" w:cs="Arial"/>
                <w:b/>
                <w:noProof/>
                <w:webHidden/>
                <w:color w:val="365F91" w:themeColor="accent1" w:themeShade="BF"/>
                <w:sz w:val="24"/>
              </w:rPr>
              <w:fldChar w:fldCharType="end"/>
            </w:r>
          </w:hyperlink>
        </w:p>
        <w:p w14:paraId="0624D57B" w14:textId="24D65E92" w:rsidR="005B11A3" w:rsidRPr="005B11A3" w:rsidRDefault="00302CE0">
          <w:pPr>
            <w:pStyle w:val="TDC1"/>
            <w:tabs>
              <w:tab w:val="right" w:leader="dot" w:pos="8494"/>
            </w:tabs>
            <w:rPr>
              <w:rFonts w:ascii="Arial" w:eastAsiaTheme="minorEastAsia" w:hAnsi="Arial" w:cs="Arial"/>
              <w:b/>
              <w:noProof/>
              <w:color w:val="365F91" w:themeColor="accent1" w:themeShade="BF"/>
              <w:sz w:val="24"/>
              <w:lang w:val="es-UY" w:eastAsia="es-UY"/>
            </w:rPr>
          </w:pPr>
          <w:hyperlink w:anchor="_Toc220936998" w:history="1">
            <w:r w:rsidR="005B11A3" w:rsidRPr="005B11A3">
              <w:rPr>
                <w:rStyle w:val="Hipervnculo"/>
                <w:rFonts w:ascii="Arial" w:hAnsi="Arial" w:cs="Arial"/>
                <w:b/>
                <w:noProof/>
                <w:color w:val="365F91" w:themeColor="accent1" w:themeShade="BF"/>
                <w:sz w:val="24"/>
              </w:rPr>
              <w:t>SANCIONES</w:t>
            </w:r>
            <w:r w:rsidR="005B11A3" w:rsidRPr="005B11A3">
              <w:rPr>
                <w:rFonts w:ascii="Arial" w:hAnsi="Arial" w:cs="Arial"/>
                <w:b/>
                <w:noProof/>
                <w:webHidden/>
                <w:color w:val="365F91" w:themeColor="accent1" w:themeShade="BF"/>
                <w:sz w:val="24"/>
              </w:rPr>
              <w:tab/>
            </w:r>
            <w:r w:rsidR="005B11A3" w:rsidRPr="005B11A3">
              <w:rPr>
                <w:rFonts w:ascii="Arial" w:hAnsi="Arial" w:cs="Arial"/>
                <w:b/>
                <w:noProof/>
                <w:webHidden/>
                <w:color w:val="365F91" w:themeColor="accent1" w:themeShade="BF"/>
                <w:sz w:val="24"/>
              </w:rPr>
              <w:fldChar w:fldCharType="begin"/>
            </w:r>
            <w:r w:rsidR="005B11A3" w:rsidRPr="005B11A3">
              <w:rPr>
                <w:rFonts w:ascii="Arial" w:hAnsi="Arial" w:cs="Arial"/>
                <w:b/>
                <w:noProof/>
                <w:webHidden/>
                <w:color w:val="365F91" w:themeColor="accent1" w:themeShade="BF"/>
                <w:sz w:val="24"/>
              </w:rPr>
              <w:instrText xml:space="preserve"> PAGEREF _Toc220936998 \h </w:instrText>
            </w:r>
            <w:r w:rsidR="005B11A3" w:rsidRPr="005B11A3">
              <w:rPr>
                <w:rFonts w:ascii="Arial" w:hAnsi="Arial" w:cs="Arial"/>
                <w:b/>
                <w:noProof/>
                <w:webHidden/>
                <w:color w:val="365F91" w:themeColor="accent1" w:themeShade="BF"/>
                <w:sz w:val="24"/>
              </w:rPr>
            </w:r>
            <w:r w:rsidR="005B11A3" w:rsidRPr="005B11A3">
              <w:rPr>
                <w:rFonts w:ascii="Arial" w:hAnsi="Arial" w:cs="Arial"/>
                <w:b/>
                <w:noProof/>
                <w:webHidden/>
                <w:color w:val="365F91" w:themeColor="accent1" w:themeShade="BF"/>
                <w:sz w:val="24"/>
              </w:rPr>
              <w:fldChar w:fldCharType="separate"/>
            </w:r>
            <w:r w:rsidR="005B11A3" w:rsidRPr="005B11A3">
              <w:rPr>
                <w:rFonts w:ascii="Arial" w:hAnsi="Arial" w:cs="Arial"/>
                <w:b/>
                <w:noProof/>
                <w:webHidden/>
                <w:color w:val="365F91" w:themeColor="accent1" w:themeShade="BF"/>
                <w:sz w:val="24"/>
              </w:rPr>
              <w:t>27</w:t>
            </w:r>
            <w:r w:rsidR="005B11A3" w:rsidRPr="005B11A3">
              <w:rPr>
                <w:rFonts w:ascii="Arial" w:hAnsi="Arial" w:cs="Arial"/>
                <w:b/>
                <w:noProof/>
                <w:webHidden/>
                <w:color w:val="365F91" w:themeColor="accent1" w:themeShade="BF"/>
                <w:sz w:val="24"/>
              </w:rPr>
              <w:fldChar w:fldCharType="end"/>
            </w:r>
          </w:hyperlink>
        </w:p>
        <w:p w14:paraId="4E1E8B8D" w14:textId="341270F2" w:rsidR="005B11A3" w:rsidRPr="005B11A3" w:rsidRDefault="00302CE0">
          <w:pPr>
            <w:pStyle w:val="TDC1"/>
            <w:tabs>
              <w:tab w:val="right" w:leader="dot" w:pos="8494"/>
            </w:tabs>
            <w:rPr>
              <w:rFonts w:ascii="Arial" w:eastAsiaTheme="minorEastAsia" w:hAnsi="Arial" w:cs="Arial"/>
              <w:b/>
              <w:noProof/>
              <w:color w:val="365F91" w:themeColor="accent1" w:themeShade="BF"/>
              <w:sz w:val="24"/>
              <w:lang w:val="es-UY" w:eastAsia="es-UY"/>
            </w:rPr>
          </w:pPr>
          <w:hyperlink w:anchor="_Toc220936999" w:history="1">
            <w:r w:rsidR="005B11A3" w:rsidRPr="005B11A3">
              <w:rPr>
                <w:rStyle w:val="Hipervnculo"/>
                <w:rFonts w:ascii="Arial" w:hAnsi="Arial" w:cs="Arial"/>
                <w:b/>
                <w:noProof/>
                <w:color w:val="365F91" w:themeColor="accent1" w:themeShade="BF"/>
                <w:sz w:val="24"/>
              </w:rPr>
              <w:t>ANEXO</w:t>
            </w:r>
            <w:r w:rsidR="005B11A3" w:rsidRPr="005B11A3">
              <w:rPr>
                <w:rFonts w:ascii="Arial" w:hAnsi="Arial" w:cs="Arial"/>
                <w:b/>
                <w:noProof/>
                <w:webHidden/>
                <w:color w:val="365F91" w:themeColor="accent1" w:themeShade="BF"/>
                <w:sz w:val="24"/>
              </w:rPr>
              <w:tab/>
            </w:r>
            <w:r w:rsidR="005B11A3" w:rsidRPr="005B11A3">
              <w:rPr>
                <w:rFonts w:ascii="Arial" w:hAnsi="Arial" w:cs="Arial"/>
                <w:b/>
                <w:noProof/>
                <w:webHidden/>
                <w:color w:val="365F91" w:themeColor="accent1" w:themeShade="BF"/>
                <w:sz w:val="24"/>
              </w:rPr>
              <w:fldChar w:fldCharType="begin"/>
            </w:r>
            <w:r w:rsidR="005B11A3" w:rsidRPr="005B11A3">
              <w:rPr>
                <w:rFonts w:ascii="Arial" w:hAnsi="Arial" w:cs="Arial"/>
                <w:b/>
                <w:noProof/>
                <w:webHidden/>
                <w:color w:val="365F91" w:themeColor="accent1" w:themeShade="BF"/>
                <w:sz w:val="24"/>
              </w:rPr>
              <w:instrText xml:space="preserve"> PAGEREF _Toc220936999 \h </w:instrText>
            </w:r>
            <w:r w:rsidR="005B11A3" w:rsidRPr="005B11A3">
              <w:rPr>
                <w:rFonts w:ascii="Arial" w:hAnsi="Arial" w:cs="Arial"/>
                <w:b/>
                <w:noProof/>
                <w:webHidden/>
                <w:color w:val="365F91" w:themeColor="accent1" w:themeShade="BF"/>
                <w:sz w:val="24"/>
              </w:rPr>
            </w:r>
            <w:r w:rsidR="005B11A3" w:rsidRPr="005B11A3">
              <w:rPr>
                <w:rFonts w:ascii="Arial" w:hAnsi="Arial" w:cs="Arial"/>
                <w:b/>
                <w:noProof/>
                <w:webHidden/>
                <w:color w:val="365F91" w:themeColor="accent1" w:themeShade="BF"/>
                <w:sz w:val="24"/>
              </w:rPr>
              <w:fldChar w:fldCharType="separate"/>
            </w:r>
            <w:r w:rsidR="005B11A3" w:rsidRPr="005B11A3">
              <w:rPr>
                <w:rFonts w:ascii="Arial" w:hAnsi="Arial" w:cs="Arial"/>
                <w:b/>
                <w:noProof/>
                <w:webHidden/>
                <w:color w:val="365F91" w:themeColor="accent1" w:themeShade="BF"/>
                <w:sz w:val="24"/>
              </w:rPr>
              <w:t>28</w:t>
            </w:r>
            <w:r w:rsidR="005B11A3" w:rsidRPr="005B11A3">
              <w:rPr>
                <w:rFonts w:ascii="Arial" w:hAnsi="Arial" w:cs="Arial"/>
                <w:b/>
                <w:noProof/>
                <w:webHidden/>
                <w:color w:val="365F91" w:themeColor="accent1" w:themeShade="BF"/>
                <w:sz w:val="24"/>
              </w:rPr>
              <w:fldChar w:fldCharType="end"/>
            </w:r>
          </w:hyperlink>
        </w:p>
        <w:p w14:paraId="0ADF9E5C" w14:textId="02A43672" w:rsidR="002E2116" w:rsidRDefault="002E2116" w:rsidP="00D06F61">
          <w:pPr>
            <w:spacing w:line="360" w:lineRule="auto"/>
          </w:pPr>
          <w:r w:rsidRPr="005B11A3">
            <w:rPr>
              <w:rFonts w:ascii="Arial" w:hAnsi="Arial" w:cs="Arial"/>
              <w:b/>
              <w:bCs/>
              <w:color w:val="365F91" w:themeColor="accent1" w:themeShade="BF"/>
              <w:sz w:val="32"/>
              <w:szCs w:val="28"/>
            </w:rPr>
            <w:fldChar w:fldCharType="end"/>
          </w:r>
        </w:p>
      </w:sdtContent>
    </w:sdt>
    <w:p w14:paraId="2BA25585" w14:textId="77777777" w:rsidR="002E2116" w:rsidRDefault="002E2116">
      <w:pPr>
        <w:rPr>
          <w:rFonts w:ascii="Arial" w:eastAsiaTheme="majorEastAsia" w:hAnsi="Arial" w:cstheme="majorBidi"/>
          <w:b/>
          <w:color w:val="365F91" w:themeColor="accent1" w:themeShade="BF"/>
          <w:sz w:val="28"/>
          <w:szCs w:val="32"/>
        </w:rPr>
      </w:pPr>
      <w:bookmarkStart w:id="0" w:name="_GoBack"/>
      <w:bookmarkEnd w:id="0"/>
      <w:r>
        <w:br w:type="page"/>
      </w:r>
    </w:p>
    <w:p w14:paraId="6312B481" w14:textId="063B4A69" w:rsidR="0002533E" w:rsidRPr="000F44EA" w:rsidRDefault="0002533E" w:rsidP="001C6447">
      <w:pPr>
        <w:pStyle w:val="Ttulo1"/>
      </w:pPr>
      <w:bookmarkStart w:id="1" w:name="_Toc220936990"/>
      <w:r w:rsidRPr="000F44EA">
        <w:lastRenderedPageBreak/>
        <w:t>INTRODUCCIÓN</w:t>
      </w:r>
      <w:bookmarkEnd w:id="1"/>
      <w:r w:rsidRPr="000F44EA">
        <w:t xml:space="preserve"> </w:t>
      </w:r>
    </w:p>
    <w:p w14:paraId="5FA3AA9A" w14:textId="4E5120AC" w:rsidR="000F44EA" w:rsidRDefault="000F44EA" w:rsidP="000F44EA">
      <w:pPr>
        <w:pStyle w:val="Default"/>
        <w:spacing w:line="360" w:lineRule="auto"/>
        <w:jc w:val="both"/>
        <w:rPr>
          <w:rFonts w:ascii="Arial" w:hAnsi="Arial" w:cs="Arial"/>
        </w:rPr>
      </w:pPr>
    </w:p>
    <w:p w14:paraId="195F3B4E" w14:textId="186AD4A4" w:rsidR="00EE107B" w:rsidRPr="00617C7B" w:rsidRDefault="00EE107B" w:rsidP="00ED1727">
      <w:pPr>
        <w:pStyle w:val="Default"/>
        <w:spacing w:line="360" w:lineRule="auto"/>
        <w:jc w:val="both"/>
        <w:rPr>
          <w:rFonts w:ascii="Arial" w:hAnsi="Arial" w:cs="Arial"/>
          <w:strike/>
        </w:rPr>
      </w:pPr>
      <w:r>
        <w:rPr>
          <w:rFonts w:ascii="Arial" w:hAnsi="Arial" w:cs="Arial"/>
        </w:rPr>
        <w:t xml:space="preserve">El régimen vigente de control de concentraciones económicas </w:t>
      </w:r>
      <w:r w:rsidR="00FD763E">
        <w:rPr>
          <w:rFonts w:ascii="Arial" w:hAnsi="Arial" w:cs="Arial"/>
        </w:rPr>
        <w:t xml:space="preserve">se encuentra establecido </w:t>
      </w:r>
      <w:r w:rsidR="00BA79B2">
        <w:rPr>
          <w:rFonts w:ascii="Arial" w:hAnsi="Arial" w:cs="Arial"/>
        </w:rPr>
        <w:t xml:space="preserve">a nivel legal, </w:t>
      </w:r>
      <w:r w:rsidR="00FD763E">
        <w:rPr>
          <w:rFonts w:ascii="Arial" w:hAnsi="Arial" w:cs="Arial"/>
        </w:rPr>
        <w:t xml:space="preserve">en los </w:t>
      </w:r>
      <w:r>
        <w:rPr>
          <w:rFonts w:ascii="Arial" w:hAnsi="Arial" w:cs="Arial"/>
        </w:rPr>
        <w:t>artículos 7 a 9 de la Ley No. 18.159</w:t>
      </w:r>
      <w:r w:rsidR="00FD763E">
        <w:rPr>
          <w:rFonts w:ascii="Arial" w:hAnsi="Arial" w:cs="Arial"/>
        </w:rPr>
        <w:t>,</w:t>
      </w:r>
      <w:r>
        <w:rPr>
          <w:rFonts w:ascii="Arial" w:hAnsi="Arial" w:cs="Arial"/>
        </w:rPr>
        <w:t xml:space="preserve"> </w:t>
      </w:r>
      <w:r w:rsidR="00FD763E">
        <w:rPr>
          <w:rFonts w:ascii="Arial" w:hAnsi="Arial" w:cs="Arial"/>
        </w:rPr>
        <w:t>de</w:t>
      </w:r>
      <w:r>
        <w:rPr>
          <w:rFonts w:ascii="Arial" w:hAnsi="Arial" w:cs="Arial"/>
        </w:rPr>
        <w:t xml:space="preserve"> </w:t>
      </w:r>
      <w:r w:rsidRPr="001C41E4">
        <w:rPr>
          <w:rFonts w:ascii="Arial" w:hAnsi="Arial" w:cs="Arial"/>
          <w:i/>
        </w:rPr>
        <w:t>Defensa de la Libre Competencia en el Comercio</w:t>
      </w:r>
      <w:r w:rsidR="00D4780E">
        <w:rPr>
          <w:rFonts w:ascii="Arial" w:hAnsi="Arial" w:cs="Arial"/>
        </w:rPr>
        <w:t>.</w:t>
      </w:r>
    </w:p>
    <w:p w14:paraId="0E2F6DC5" w14:textId="77777777" w:rsidR="00350B13" w:rsidRDefault="00350B13" w:rsidP="00350B13">
      <w:pPr>
        <w:pStyle w:val="Default"/>
        <w:spacing w:line="360" w:lineRule="auto"/>
        <w:ind w:left="720"/>
        <w:jc w:val="both"/>
        <w:rPr>
          <w:rFonts w:ascii="Arial" w:hAnsi="Arial" w:cs="Arial"/>
        </w:rPr>
      </w:pPr>
    </w:p>
    <w:p w14:paraId="66505B0A" w14:textId="339492B3" w:rsidR="00A44634" w:rsidRPr="00D4780E" w:rsidRDefault="00963D23" w:rsidP="00ED1727">
      <w:pPr>
        <w:pStyle w:val="Default"/>
        <w:spacing w:line="360" w:lineRule="auto"/>
        <w:jc w:val="both"/>
        <w:rPr>
          <w:rFonts w:ascii="Arial" w:hAnsi="Arial" w:cs="Arial"/>
          <w:strike/>
        </w:rPr>
      </w:pPr>
      <w:bookmarkStart w:id="2" w:name="_Hlk220698005"/>
      <w:r>
        <w:rPr>
          <w:rFonts w:ascii="Arial" w:hAnsi="Arial" w:cs="Arial"/>
        </w:rPr>
        <w:t>En ese contexto, el presente reglamento tiene por finalidad</w:t>
      </w:r>
      <w:r w:rsidR="0097130B">
        <w:rPr>
          <w:rFonts w:ascii="Arial" w:hAnsi="Arial" w:cs="Arial"/>
        </w:rPr>
        <w:t>,</w:t>
      </w:r>
      <w:r>
        <w:rPr>
          <w:rFonts w:ascii="Arial" w:hAnsi="Arial" w:cs="Arial"/>
        </w:rPr>
        <w:t xml:space="preserve"> </w:t>
      </w:r>
      <w:r w:rsidR="00977A90">
        <w:rPr>
          <w:rFonts w:ascii="Arial" w:hAnsi="Arial" w:cs="Arial"/>
        </w:rPr>
        <w:t xml:space="preserve">explicitar los criterios y lineamientos para </w:t>
      </w:r>
      <w:r w:rsidR="007B403A">
        <w:rPr>
          <w:rFonts w:ascii="Arial" w:hAnsi="Arial" w:cs="Arial"/>
        </w:rPr>
        <w:t xml:space="preserve">solicitar </w:t>
      </w:r>
      <w:r>
        <w:rPr>
          <w:rFonts w:ascii="Arial" w:hAnsi="Arial" w:cs="Arial"/>
        </w:rPr>
        <w:t xml:space="preserve">la autorización de una operación de concentración económica ante la </w:t>
      </w:r>
      <w:r w:rsidR="00275B6D">
        <w:rPr>
          <w:rFonts w:ascii="Arial" w:hAnsi="Arial" w:cs="Arial"/>
        </w:rPr>
        <w:t>Comisión de Promoción y Defensa de la Competencia (“</w:t>
      </w:r>
      <w:r>
        <w:rPr>
          <w:rFonts w:ascii="Arial" w:hAnsi="Arial" w:cs="Arial"/>
        </w:rPr>
        <w:t>COPRODEC</w:t>
      </w:r>
      <w:r w:rsidR="00275B6D">
        <w:rPr>
          <w:rFonts w:ascii="Arial" w:hAnsi="Arial" w:cs="Arial"/>
        </w:rPr>
        <w:t>”)</w:t>
      </w:r>
      <w:r w:rsidR="00D062ED">
        <w:rPr>
          <w:rFonts w:ascii="Arial" w:hAnsi="Arial" w:cs="Arial"/>
        </w:rPr>
        <w:t xml:space="preserve"> o</w:t>
      </w:r>
      <w:r w:rsidR="00706357">
        <w:rPr>
          <w:rFonts w:ascii="Arial" w:hAnsi="Arial" w:cs="Arial"/>
        </w:rPr>
        <w:t>, en su caso,</w:t>
      </w:r>
      <w:r w:rsidR="00D062ED">
        <w:rPr>
          <w:rFonts w:ascii="Arial" w:hAnsi="Arial" w:cs="Arial"/>
        </w:rPr>
        <w:t xml:space="preserve"> </w:t>
      </w:r>
      <w:r w:rsidR="00977A90">
        <w:rPr>
          <w:rFonts w:ascii="Arial" w:hAnsi="Arial" w:cs="Arial"/>
        </w:rPr>
        <w:t>notificar una operación</w:t>
      </w:r>
      <w:r w:rsidR="00617C7B">
        <w:rPr>
          <w:rFonts w:ascii="Arial" w:hAnsi="Arial" w:cs="Arial"/>
        </w:rPr>
        <w:t>,</w:t>
      </w:r>
      <w:r w:rsidR="00977A90">
        <w:rPr>
          <w:rFonts w:ascii="Arial" w:hAnsi="Arial" w:cs="Arial"/>
        </w:rPr>
        <w:t xml:space="preserve"> en cumplimiento del mandato legal establecido</w:t>
      </w:r>
      <w:r w:rsidR="0097130B">
        <w:rPr>
          <w:rFonts w:ascii="Arial" w:hAnsi="Arial" w:cs="Arial"/>
        </w:rPr>
        <w:t xml:space="preserve">, </w:t>
      </w:r>
      <w:r w:rsidR="00977A90">
        <w:rPr>
          <w:rFonts w:ascii="Arial" w:hAnsi="Arial" w:cs="Arial"/>
        </w:rPr>
        <w:t xml:space="preserve">y propiciar a su vez, </w:t>
      </w:r>
      <w:r w:rsidR="0097130B">
        <w:rPr>
          <w:rFonts w:ascii="Arial" w:hAnsi="Arial" w:cs="Arial"/>
        </w:rPr>
        <w:t>que aspectos de relevancia para una eficiente y eficaz ejecución de los procedimientos administrativos aplicables en cada caso, se encuentren claramente delimitados</w:t>
      </w:r>
      <w:r w:rsidR="00A1190E">
        <w:rPr>
          <w:rFonts w:ascii="Arial" w:hAnsi="Arial" w:cs="Arial"/>
        </w:rPr>
        <w:t xml:space="preserve"> en beneficio de los interesados y de la propia administración</w:t>
      </w:r>
      <w:bookmarkEnd w:id="2"/>
      <w:r w:rsidR="00A1190E">
        <w:rPr>
          <w:rFonts w:ascii="Arial" w:hAnsi="Arial" w:cs="Arial"/>
        </w:rPr>
        <w:t>.</w:t>
      </w:r>
      <w:r w:rsidR="0097130B">
        <w:rPr>
          <w:rFonts w:ascii="Arial" w:hAnsi="Arial" w:cs="Arial"/>
        </w:rPr>
        <w:t xml:space="preserve"> </w:t>
      </w:r>
    </w:p>
    <w:p w14:paraId="33C17A75" w14:textId="77777777" w:rsidR="00A44634" w:rsidRDefault="00A44634" w:rsidP="001C41E4">
      <w:pPr>
        <w:pStyle w:val="Prrafodelista"/>
        <w:numPr>
          <w:ilvl w:val="0"/>
          <w:numId w:val="0"/>
        </w:numPr>
        <w:ind w:left="644"/>
      </w:pPr>
    </w:p>
    <w:p w14:paraId="171D0B8A" w14:textId="035ABB0A" w:rsidR="001C6447" w:rsidRPr="00D4780E" w:rsidRDefault="006804B8" w:rsidP="00ED1727">
      <w:pPr>
        <w:pStyle w:val="Default"/>
        <w:spacing w:line="360" w:lineRule="auto"/>
        <w:jc w:val="both"/>
        <w:rPr>
          <w:rFonts w:ascii="Arial" w:hAnsi="Arial" w:cs="Arial"/>
        </w:rPr>
      </w:pPr>
      <w:bookmarkStart w:id="3" w:name="_Hlk220698270"/>
      <w:r w:rsidRPr="00D4780E">
        <w:rPr>
          <w:rFonts w:ascii="Arial" w:hAnsi="Arial" w:cs="Arial"/>
        </w:rPr>
        <w:t xml:space="preserve">Su formalización se </w:t>
      </w:r>
      <w:r w:rsidR="00D4780E" w:rsidRPr="00D4780E">
        <w:rPr>
          <w:rFonts w:ascii="Arial" w:hAnsi="Arial" w:cs="Arial"/>
        </w:rPr>
        <w:t>fundamenta,</w:t>
      </w:r>
      <w:r w:rsidRPr="00D4780E">
        <w:rPr>
          <w:rFonts w:ascii="Arial" w:hAnsi="Arial" w:cs="Arial"/>
        </w:rPr>
        <w:t xml:space="preserve"> </w:t>
      </w:r>
      <w:r w:rsidR="00A1190E" w:rsidRPr="00D4780E">
        <w:rPr>
          <w:rFonts w:ascii="Arial" w:hAnsi="Arial" w:cs="Arial"/>
        </w:rPr>
        <w:t xml:space="preserve">además, </w:t>
      </w:r>
      <w:r w:rsidRPr="00D4780E">
        <w:rPr>
          <w:rFonts w:ascii="Arial" w:hAnsi="Arial" w:cs="Arial"/>
        </w:rPr>
        <w:t>en los principios que informan la actuación administrativa</w:t>
      </w:r>
      <w:r w:rsidR="00D9084B" w:rsidRPr="00D4780E">
        <w:rPr>
          <w:rFonts w:ascii="Arial" w:hAnsi="Arial" w:cs="Arial"/>
        </w:rPr>
        <w:t>,</w:t>
      </w:r>
      <w:r w:rsidRPr="00D4780E">
        <w:rPr>
          <w:rFonts w:ascii="Arial" w:hAnsi="Arial" w:cs="Arial"/>
        </w:rPr>
        <w:t xml:space="preserve"> </w:t>
      </w:r>
      <w:r w:rsidR="0044010E" w:rsidRPr="00D4780E">
        <w:rPr>
          <w:rFonts w:ascii="Arial" w:hAnsi="Arial" w:cs="Arial"/>
        </w:rPr>
        <w:t xml:space="preserve">entre otros, </w:t>
      </w:r>
      <w:r w:rsidRPr="00D4780E">
        <w:rPr>
          <w:rFonts w:ascii="Arial" w:hAnsi="Arial" w:cs="Arial"/>
        </w:rPr>
        <w:t xml:space="preserve">la economía, celeridad y eficacia, el debido procedimiento y la buena fe, </w:t>
      </w:r>
      <w:r w:rsidR="008978E9" w:rsidRPr="00D4780E">
        <w:rPr>
          <w:rFonts w:ascii="Arial" w:hAnsi="Arial" w:cs="Arial"/>
        </w:rPr>
        <w:t>conforme al Decreto No. 500/91</w:t>
      </w:r>
      <w:bookmarkEnd w:id="3"/>
      <w:r w:rsidR="00D4780E" w:rsidRPr="00D4780E">
        <w:rPr>
          <w:rFonts w:ascii="Arial" w:hAnsi="Arial" w:cs="Arial"/>
        </w:rPr>
        <w:t xml:space="preserve">, </w:t>
      </w:r>
      <w:r w:rsidR="00D4780E">
        <w:rPr>
          <w:rFonts w:ascii="Arial" w:hAnsi="Arial" w:cs="Arial"/>
        </w:rPr>
        <w:t xml:space="preserve">y pretende </w:t>
      </w:r>
      <w:r w:rsidR="005240D3" w:rsidRPr="00D4780E">
        <w:rPr>
          <w:rFonts w:ascii="Arial" w:hAnsi="Arial" w:cs="Arial"/>
        </w:rPr>
        <w:t xml:space="preserve">dar respuesta a consultas frecuentes formuladas ante la COPRODEC, facilitar el cumplimiento y la aplicación de la LDC </w:t>
      </w:r>
      <w:r w:rsidR="00817704" w:rsidRPr="00D4780E">
        <w:rPr>
          <w:rFonts w:ascii="Arial" w:hAnsi="Arial" w:cs="Arial"/>
        </w:rPr>
        <w:t>y</w:t>
      </w:r>
      <w:r w:rsidR="00A1190E" w:rsidRPr="00D4780E">
        <w:rPr>
          <w:rFonts w:ascii="Arial" w:hAnsi="Arial" w:cs="Arial"/>
        </w:rPr>
        <w:t>;</w:t>
      </w:r>
      <w:r w:rsidR="00817704" w:rsidRPr="00D4780E">
        <w:rPr>
          <w:rFonts w:ascii="Arial" w:hAnsi="Arial" w:cs="Arial"/>
        </w:rPr>
        <w:t xml:space="preserve"> reforzar la previsibilidad y transparencia de las decisiones administrativas</w:t>
      </w:r>
      <w:r w:rsidR="004631A7" w:rsidRPr="00D4780E">
        <w:rPr>
          <w:rFonts w:ascii="Arial" w:hAnsi="Arial" w:cs="Arial"/>
        </w:rPr>
        <w:t xml:space="preserve">, contribuyendo asimismo a dotar de mayor celeridad y eficiencia al </w:t>
      </w:r>
      <w:r w:rsidR="004631A7" w:rsidRPr="00D4780E">
        <w:rPr>
          <w:rFonts w:ascii="Arial" w:hAnsi="Arial" w:cs="Arial"/>
        </w:rPr>
        <w:lastRenderedPageBreak/>
        <w:t xml:space="preserve">análisis de las concentraciones económicas, mediante la reducción de cargas interpretativas recurrentes y de los costos y tiempos asociados, tanto para la Administración como para los </w:t>
      </w:r>
      <w:r w:rsidR="00FA4D63" w:rsidRPr="00D4780E">
        <w:rPr>
          <w:rFonts w:ascii="Arial" w:hAnsi="Arial" w:cs="Arial"/>
        </w:rPr>
        <w:t>usuarios</w:t>
      </w:r>
      <w:r w:rsidR="002E2116" w:rsidRPr="00D4780E">
        <w:rPr>
          <w:rFonts w:ascii="Arial" w:hAnsi="Arial" w:cs="Arial"/>
        </w:rPr>
        <w:t>.</w:t>
      </w:r>
    </w:p>
    <w:p w14:paraId="44CCD8AC" w14:textId="77777777" w:rsidR="0024682B" w:rsidRPr="001C6447" w:rsidRDefault="0024682B" w:rsidP="0024682B">
      <w:pPr>
        <w:pStyle w:val="Default"/>
        <w:spacing w:line="360" w:lineRule="auto"/>
        <w:ind w:left="720"/>
        <w:jc w:val="both"/>
        <w:rPr>
          <w:rFonts w:ascii="Arial" w:hAnsi="Arial" w:cs="Arial"/>
        </w:rPr>
      </w:pPr>
    </w:p>
    <w:p w14:paraId="50507DC2" w14:textId="0E1CAF77" w:rsidR="001C6447" w:rsidRPr="00ED1727" w:rsidRDefault="00C80B7B" w:rsidP="00ED1727">
      <w:pPr>
        <w:spacing w:line="360" w:lineRule="auto"/>
        <w:jc w:val="both"/>
        <w:rPr>
          <w:rFonts w:ascii="Arial" w:hAnsi="Arial" w:cs="Arial"/>
          <w:color w:val="000000"/>
          <w:sz w:val="24"/>
          <w:szCs w:val="24"/>
        </w:rPr>
      </w:pPr>
      <w:r w:rsidRPr="00ED1727">
        <w:rPr>
          <w:rFonts w:ascii="Arial" w:hAnsi="Arial" w:cs="Arial"/>
          <w:color w:val="000000"/>
          <w:sz w:val="24"/>
          <w:szCs w:val="24"/>
        </w:rPr>
        <w:t xml:space="preserve">Los criterios aquí expuestos deben </w:t>
      </w:r>
      <w:r w:rsidR="002A4D11" w:rsidRPr="00ED1727">
        <w:rPr>
          <w:rFonts w:ascii="Arial" w:hAnsi="Arial" w:cs="Arial"/>
          <w:color w:val="000000"/>
          <w:sz w:val="24"/>
          <w:szCs w:val="24"/>
        </w:rPr>
        <w:t xml:space="preserve">aplicarse en el marco de la tramitación de solicitudes de autorización o notificación de operaciones de concentración económica </w:t>
      </w:r>
      <w:r w:rsidRPr="00ED1727">
        <w:rPr>
          <w:rFonts w:ascii="Arial" w:hAnsi="Arial" w:cs="Arial"/>
          <w:color w:val="000000"/>
          <w:sz w:val="24"/>
          <w:szCs w:val="24"/>
        </w:rPr>
        <w:t xml:space="preserve">por los participantes de la concentración, sin que puedan alegar interpretaciones divergentes. Sin perjuicio de ello, dichos criterios no sustituyen el análisis caso por caso que corresponde realizar al momento de la presentación y tramitación de cada operación, a efectos de verificar que encuadre dentro de las </w:t>
      </w:r>
      <w:r w:rsidR="0024682B" w:rsidRPr="00ED1727">
        <w:rPr>
          <w:rFonts w:ascii="Arial" w:hAnsi="Arial" w:cs="Arial"/>
          <w:color w:val="000000"/>
          <w:sz w:val="24"/>
          <w:szCs w:val="24"/>
        </w:rPr>
        <w:t>pautas interpretativas definidas. Asimismo, estos criterios no limitan las potestades de la COPRODEC para emplear herramientas de análisis adicionales que estime pertinentes ni para requerir a las partes las ampliaciones de información que resulten necesarias y relevantes para la evaluación de los efectos competitivos de cada operación concreta.</w:t>
      </w:r>
    </w:p>
    <w:p w14:paraId="7063CCD6" w14:textId="77777777" w:rsidR="000B2C58" w:rsidRPr="00ED1727" w:rsidRDefault="000B2C58" w:rsidP="00ED1727">
      <w:pPr>
        <w:spacing w:after="0" w:line="240" w:lineRule="auto"/>
      </w:pPr>
    </w:p>
    <w:p w14:paraId="46A0E19D" w14:textId="5D8D301B" w:rsidR="000B2C58" w:rsidRPr="00ED1727" w:rsidRDefault="000B2C58" w:rsidP="007F3BC7">
      <w:pPr>
        <w:spacing w:line="360" w:lineRule="auto"/>
        <w:jc w:val="both"/>
        <w:rPr>
          <w:rFonts w:ascii="Arial" w:hAnsi="Arial" w:cs="Arial"/>
          <w:color w:val="000000"/>
          <w:sz w:val="24"/>
          <w:szCs w:val="24"/>
        </w:rPr>
      </w:pPr>
      <w:r w:rsidRPr="00ED1727">
        <w:rPr>
          <w:rFonts w:ascii="Arial" w:hAnsi="Arial" w:cs="Arial"/>
          <w:color w:val="000000"/>
          <w:sz w:val="24"/>
          <w:szCs w:val="24"/>
        </w:rPr>
        <w:t xml:space="preserve">Los </w:t>
      </w:r>
      <w:r w:rsidR="001814A9" w:rsidRPr="00ED1727">
        <w:rPr>
          <w:rFonts w:ascii="Arial" w:hAnsi="Arial" w:cs="Arial"/>
          <w:color w:val="000000"/>
          <w:sz w:val="24"/>
          <w:szCs w:val="24"/>
        </w:rPr>
        <w:t>criterios aquí establecidos</w:t>
      </w:r>
      <w:r w:rsidR="00510997" w:rsidRPr="00ED1727">
        <w:rPr>
          <w:rFonts w:ascii="Arial" w:hAnsi="Arial" w:cs="Arial"/>
          <w:color w:val="000000"/>
          <w:sz w:val="24"/>
          <w:szCs w:val="24"/>
        </w:rPr>
        <w:t xml:space="preserve"> </w:t>
      </w:r>
      <w:r w:rsidRPr="00ED1727">
        <w:rPr>
          <w:rFonts w:ascii="Arial" w:hAnsi="Arial" w:cs="Arial"/>
          <w:color w:val="000000"/>
          <w:sz w:val="24"/>
          <w:szCs w:val="24"/>
        </w:rPr>
        <w:t xml:space="preserve">permanecerán vigentes mientras no sean </w:t>
      </w:r>
      <w:r w:rsidR="005240D3" w:rsidRPr="00ED1727">
        <w:rPr>
          <w:rFonts w:ascii="Arial" w:hAnsi="Arial" w:cs="Arial"/>
          <w:color w:val="000000"/>
          <w:sz w:val="24"/>
          <w:szCs w:val="24"/>
        </w:rPr>
        <w:t xml:space="preserve">modificados o </w:t>
      </w:r>
      <w:r w:rsidR="00ED1727" w:rsidRPr="00ED1727">
        <w:rPr>
          <w:rFonts w:ascii="Arial" w:hAnsi="Arial" w:cs="Arial"/>
          <w:color w:val="000000"/>
          <w:sz w:val="24"/>
          <w:szCs w:val="24"/>
        </w:rPr>
        <w:t>sustituidos</w:t>
      </w:r>
      <w:r w:rsidR="005240D3" w:rsidRPr="00ED1727">
        <w:rPr>
          <w:rFonts w:ascii="Arial" w:hAnsi="Arial" w:cs="Arial"/>
          <w:color w:val="000000"/>
          <w:sz w:val="24"/>
          <w:szCs w:val="24"/>
        </w:rPr>
        <w:t xml:space="preserve"> por </w:t>
      </w:r>
      <w:r w:rsidR="00ED1727" w:rsidRPr="00ED1727">
        <w:rPr>
          <w:rFonts w:ascii="Arial" w:hAnsi="Arial" w:cs="Arial"/>
          <w:color w:val="000000"/>
          <w:sz w:val="24"/>
          <w:szCs w:val="24"/>
        </w:rPr>
        <w:t>resolución</w:t>
      </w:r>
      <w:r w:rsidR="005240D3" w:rsidRPr="00ED1727">
        <w:rPr>
          <w:rFonts w:ascii="Arial" w:hAnsi="Arial" w:cs="Arial"/>
          <w:color w:val="000000"/>
          <w:sz w:val="24"/>
          <w:szCs w:val="24"/>
        </w:rPr>
        <w:t xml:space="preserve"> expresa.</w:t>
      </w:r>
    </w:p>
    <w:p w14:paraId="71FB6A5E" w14:textId="77777777" w:rsidR="00AB36CA" w:rsidRDefault="00AB36CA" w:rsidP="00D07654">
      <w:pPr>
        <w:ind w:left="284"/>
        <w:jc w:val="both"/>
        <w:rPr>
          <w:rFonts w:ascii="Arial" w:hAnsi="Arial" w:cs="Arial"/>
          <w:b/>
          <w:bCs/>
          <w:color w:val="1F497D" w:themeColor="text2"/>
          <w:sz w:val="24"/>
          <w:szCs w:val="24"/>
        </w:rPr>
      </w:pPr>
    </w:p>
    <w:p w14:paraId="24FC30D5" w14:textId="02C6E6AC" w:rsidR="000B2C58" w:rsidRDefault="000B2C58" w:rsidP="001C6447">
      <w:pPr>
        <w:pStyle w:val="Ttulo1"/>
      </w:pPr>
      <w:bookmarkStart w:id="4" w:name="_Toc220936991"/>
      <w:r w:rsidRPr="000B2C58">
        <w:t>CONCEPTO DE OPERACIÓN DE CONCENTRACIÓN</w:t>
      </w:r>
      <w:bookmarkEnd w:id="4"/>
    </w:p>
    <w:p w14:paraId="238BF741" w14:textId="77777777" w:rsidR="007F3BC7" w:rsidRPr="007F3BC7" w:rsidRDefault="007F3BC7" w:rsidP="007F3BC7"/>
    <w:p w14:paraId="754B9DBE" w14:textId="6B9C81C2" w:rsidR="004B2F2D" w:rsidRDefault="00B41F3B" w:rsidP="009A61D5">
      <w:pPr>
        <w:pStyle w:val="Prrafodelista"/>
        <w:numPr>
          <w:ilvl w:val="0"/>
          <w:numId w:val="20"/>
        </w:numPr>
      </w:pPr>
      <w:r>
        <w:lastRenderedPageBreak/>
        <w:t xml:space="preserve">A efectos de determinar si una operación </w:t>
      </w:r>
      <w:r w:rsidR="00153C7E">
        <w:t>debe presentarse</w:t>
      </w:r>
      <w:r>
        <w:t xml:space="preserve"> ante la COPRODEC, corresponde en primer lugar verificar si configura una concentración económica en los términos del artículo 7 de la LDC. Conforme a dicha disposición, </w:t>
      </w:r>
      <w:r w:rsidR="00C46CB2">
        <w:t>“</w:t>
      </w:r>
      <w:r w:rsidR="00C46CB2" w:rsidRPr="001C41E4">
        <w:rPr>
          <w:i/>
        </w:rPr>
        <w:t>se considerará</w:t>
      </w:r>
      <w:r w:rsidR="004B2F2D">
        <w:rPr>
          <w:i/>
        </w:rPr>
        <w:t xml:space="preserve"> concentración económica todo hecho, acto o convención que genere una transferencia o un cambio de control de la totalidad o parte de uno o más participantes o unidades económicas, así como la creación o adquisición de control conjunto sobre una o varias entidades. A título enunciativo, comprende los llevados a cabo a través de: </w:t>
      </w:r>
      <w:r w:rsidR="00C46CB2" w:rsidRPr="001C41E4">
        <w:rPr>
          <w:i/>
        </w:rPr>
        <w:t xml:space="preserve">fusión de sociedades, adquisición de acciones, </w:t>
      </w:r>
      <w:r w:rsidR="004B2F2D">
        <w:rPr>
          <w:i/>
        </w:rPr>
        <w:t>adquisición de</w:t>
      </w:r>
      <w:r w:rsidR="00C46CB2" w:rsidRPr="001C41E4">
        <w:rPr>
          <w:i/>
        </w:rPr>
        <w:t xml:space="preserve"> participaciones sociales, adquisición de establecimientos comerciales, industriales o civiles, adquisici</w:t>
      </w:r>
      <w:r w:rsidR="004B2F2D">
        <w:rPr>
          <w:i/>
        </w:rPr>
        <w:t>ón</w:t>
      </w:r>
      <w:r w:rsidR="00C46CB2" w:rsidRPr="001C41E4">
        <w:rPr>
          <w:i/>
        </w:rPr>
        <w:t xml:space="preserve"> total o parcial de activos empresariales</w:t>
      </w:r>
      <w:r w:rsidR="004B2F2D">
        <w:rPr>
          <w:i/>
        </w:rPr>
        <w:t>”</w:t>
      </w:r>
      <w:r w:rsidR="00575909" w:rsidRPr="001C41E4">
        <w:rPr>
          <w:rStyle w:val="Refdenotaalpie"/>
          <w:iCs/>
        </w:rPr>
        <w:footnoteReference w:id="1"/>
      </w:r>
      <w:r w:rsidR="004B2F2D" w:rsidRPr="001C41E4">
        <w:rPr>
          <w:iCs/>
        </w:rPr>
        <w:t xml:space="preserve">. </w:t>
      </w:r>
    </w:p>
    <w:p w14:paraId="477811FF" w14:textId="77777777" w:rsidR="00013FEF" w:rsidRDefault="00013FEF" w:rsidP="001C41E4">
      <w:pPr>
        <w:pStyle w:val="Prrafodelista"/>
        <w:numPr>
          <w:ilvl w:val="0"/>
          <w:numId w:val="0"/>
        </w:numPr>
        <w:ind w:left="644"/>
      </w:pPr>
    </w:p>
    <w:p w14:paraId="7D6FDDB0" w14:textId="4B9936E1" w:rsidR="00013FEF" w:rsidRDefault="00B41F3B">
      <w:pPr>
        <w:pStyle w:val="Prrafodelista"/>
        <w:numPr>
          <w:ilvl w:val="0"/>
          <w:numId w:val="20"/>
        </w:numPr>
      </w:pPr>
      <w:r>
        <w:t xml:space="preserve">Es </w:t>
      </w:r>
      <w:r w:rsidR="00C27505">
        <w:t>otros términos</w:t>
      </w:r>
      <w:r>
        <w:t>,</w:t>
      </w:r>
      <w:r w:rsidR="004B2F2D">
        <w:t xml:space="preserve"> </w:t>
      </w:r>
      <w:r w:rsidR="00C27505">
        <w:t>constituye una</w:t>
      </w:r>
      <w:r w:rsidR="004B2F2D">
        <w:t xml:space="preserve"> concentración</w:t>
      </w:r>
      <w:r w:rsidR="00C27505">
        <w:t xml:space="preserve"> económica</w:t>
      </w:r>
      <w:r w:rsidR="004B2F2D">
        <w:t xml:space="preserve"> </w:t>
      </w:r>
      <w:r w:rsidR="00A96D71">
        <w:t xml:space="preserve">toda operación que genere un cambio duradero en el control de las empresas afectadas y, </w:t>
      </w:r>
      <w:r w:rsidR="00C63201">
        <w:t>consecuentemente</w:t>
      </w:r>
      <w:r w:rsidR="00A96D71">
        <w:t xml:space="preserve">, </w:t>
      </w:r>
      <w:r w:rsidR="00C63201">
        <w:t xml:space="preserve">un impacto </w:t>
      </w:r>
      <w:r w:rsidR="00A96D71">
        <w:t>en la estructura del mercado.</w:t>
      </w:r>
    </w:p>
    <w:p w14:paraId="29DC2E7D" w14:textId="426B4EAA" w:rsidR="007F3BC7" w:rsidRDefault="007F3BC7" w:rsidP="007F3BC7">
      <w:pPr>
        <w:pStyle w:val="Prrafodelista"/>
        <w:numPr>
          <w:ilvl w:val="0"/>
          <w:numId w:val="0"/>
        </w:numPr>
        <w:ind w:left="644"/>
      </w:pPr>
    </w:p>
    <w:p w14:paraId="29B5B403" w14:textId="77777777" w:rsidR="00BB3A2B" w:rsidRDefault="00BB3A2B" w:rsidP="007F3BC7">
      <w:pPr>
        <w:pStyle w:val="Prrafodelista"/>
        <w:numPr>
          <w:ilvl w:val="0"/>
          <w:numId w:val="0"/>
        </w:numPr>
        <w:ind w:left="644"/>
      </w:pPr>
    </w:p>
    <w:p w14:paraId="4FDB4468" w14:textId="77777777" w:rsidR="007F3BC7" w:rsidRDefault="007F3BC7" w:rsidP="007F3BC7">
      <w:pPr>
        <w:pStyle w:val="Prrafodelista"/>
        <w:numPr>
          <w:ilvl w:val="0"/>
          <w:numId w:val="0"/>
        </w:numPr>
        <w:ind w:left="720"/>
      </w:pPr>
    </w:p>
    <w:p w14:paraId="6E76774D" w14:textId="5276A264" w:rsidR="009F19DB" w:rsidRDefault="00285615" w:rsidP="001C6447">
      <w:pPr>
        <w:pStyle w:val="Ttulo1"/>
      </w:pPr>
      <w:bookmarkStart w:id="5" w:name="_Toc220936992"/>
      <w:r>
        <w:lastRenderedPageBreak/>
        <w:t>REQUISITOS D</w:t>
      </w:r>
      <w:r w:rsidR="004412CD">
        <w:t>E APLICA</w:t>
      </w:r>
      <w:r w:rsidR="00DA7C29">
        <w:t>CIÓN</w:t>
      </w:r>
      <w:r w:rsidR="004412CD">
        <w:t xml:space="preserve"> DEL RÉGIMEN</w:t>
      </w:r>
      <w:r w:rsidR="00A72835">
        <w:t xml:space="preserve"> </w:t>
      </w:r>
      <w:r w:rsidR="00DA7C29">
        <w:t>DE CONTROL DE CONCENTRACIONES</w:t>
      </w:r>
      <w:bookmarkEnd w:id="5"/>
    </w:p>
    <w:p w14:paraId="2C40C5AC" w14:textId="77777777" w:rsidR="00BB3A2B" w:rsidRPr="00BB3A2B" w:rsidRDefault="00BB3A2B" w:rsidP="00BB3A2B"/>
    <w:p w14:paraId="7DD6AD52" w14:textId="6D9C18B1" w:rsidR="00590E9F" w:rsidRDefault="00F20EAD" w:rsidP="00900344">
      <w:pPr>
        <w:pStyle w:val="Prrafodelista"/>
        <w:numPr>
          <w:ilvl w:val="0"/>
          <w:numId w:val="20"/>
        </w:numPr>
        <w:ind w:left="644"/>
      </w:pPr>
      <w:r>
        <w:t xml:space="preserve">Una vez constatada la existencia </w:t>
      </w:r>
      <w:r w:rsidR="00876EF7">
        <w:t>de una concentración económica en los términos del artículo 7 de la LDC</w:t>
      </w:r>
      <w:r w:rsidR="00590E9F">
        <w:t xml:space="preserve"> </w:t>
      </w:r>
      <w:r w:rsidR="009B1604">
        <w:t>- entendida como ‘creación o cambio de control de l</w:t>
      </w:r>
      <w:r w:rsidR="004F79ED">
        <w:t>as empresas partícipes’</w:t>
      </w:r>
      <w:r w:rsidR="00912A70">
        <w:rPr>
          <w:rStyle w:val="Refdenotaalpie"/>
        </w:rPr>
        <w:footnoteReference w:id="2"/>
      </w:r>
      <w:r w:rsidR="004F79ED">
        <w:t>-</w:t>
      </w:r>
      <w:r w:rsidR="00876EF7">
        <w:t xml:space="preserve"> para que resulte aplicable el régimen de control de concentraciones previsto en dicha ley</w:t>
      </w:r>
      <w:r w:rsidR="004700CC">
        <w:t>,</w:t>
      </w:r>
      <w:r w:rsidR="00876EF7">
        <w:t xml:space="preserve"> deberán verificarse </w:t>
      </w:r>
      <w:r w:rsidR="004700CC" w:rsidRPr="001C41E4">
        <w:rPr>
          <w:u w:val="single"/>
        </w:rPr>
        <w:t>adicionalmente</w:t>
      </w:r>
      <w:r w:rsidR="004700CC">
        <w:t xml:space="preserve"> los siguientes requisitos: </w:t>
      </w:r>
    </w:p>
    <w:p w14:paraId="3B9934EF" w14:textId="23FA7031" w:rsidR="00D07654" w:rsidRDefault="007F41AD" w:rsidP="001C41E4">
      <w:pPr>
        <w:pStyle w:val="Prrafodelista"/>
        <w:numPr>
          <w:ilvl w:val="1"/>
          <w:numId w:val="20"/>
        </w:numPr>
      </w:pPr>
      <w:r>
        <w:t xml:space="preserve">que </w:t>
      </w:r>
      <w:r w:rsidR="00590E9F">
        <w:t>la</w:t>
      </w:r>
      <w:r w:rsidR="00E37686">
        <w:t xml:space="preserve"> creación o</w:t>
      </w:r>
      <w:r w:rsidR="00D07654">
        <w:t xml:space="preserve"> </w:t>
      </w:r>
      <w:r w:rsidR="00D15209">
        <w:t xml:space="preserve">cambio </w:t>
      </w:r>
      <w:r w:rsidR="00E37686">
        <w:t>de control</w:t>
      </w:r>
      <w:r w:rsidR="00D07654">
        <w:t xml:space="preserve"> </w:t>
      </w:r>
      <w:r w:rsidR="006861C2">
        <w:t xml:space="preserve">produzca </w:t>
      </w:r>
      <w:r w:rsidR="00D07654">
        <w:t>un efecto duradero en la estructura de mercado</w:t>
      </w:r>
      <w:r w:rsidR="00F33056">
        <w:t>;</w:t>
      </w:r>
    </w:p>
    <w:p w14:paraId="0BD523D7" w14:textId="3197B49D" w:rsidR="00F33056" w:rsidRDefault="005B4BBE" w:rsidP="000B6364">
      <w:pPr>
        <w:pStyle w:val="Prrafodelista"/>
        <w:numPr>
          <w:ilvl w:val="1"/>
          <w:numId w:val="20"/>
        </w:numPr>
      </w:pPr>
      <w:r>
        <w:t xml:space="preserve">que </w:t>
      </w:r>
      <w:r w:rsidR="00D15209">
        <w:t xml:space="preserve">la creación o cambio de control </w:t>
      </w:r>
      <w:r w:rsidR="00C510A9">
        <w:t>produzca</w:t>
      </w:r>
      <w:r w:rsidR="00D07654">
        <w:t xml:space="preserve"> efecto en</w:t>
      </w:r>
      <w:r w:rsidR="00C510A9">
        <w:t xml:space="preserve"> el</w:t>
      </w:r>
      <w:r w:rsidR="00D07654">
        <w:t xml:space="preserve"> territorio uruguayo</w:t>
      </w:r>
      <w:r w:rsidR="00D15209">
        <w:rPr>
          <w:rStyle w:val="Refdenotaalpie"/>
        </w:rPr>
        <w:footnoteReference w:id="3"/>
      </w:r>
      <w:r w:rsidR="00F33056">
        <w:t>;</w:t>
      </w:r>
      <w:r w:rsidR="00835AAD">
        <w:t xml:space="preserve"> </w:t>
      </w:r>
    </w:p>
    <w:p w14:paraId="634187C5" w14:textId="17DCCAC7" w:rsidR="009A4AC0" w:rsidRDefault="00882D2F" w:rsidP="001C41E4">
      <w:pPr>
        <w:pStyle w:val="Prrafodelista"/>
        <w:numPr>
          <w:ilvl w:val="1"/>
          <w:numId w:val="20"/>
        </w:numPr>
      </w:pPr>
      <w:r>
        <w:t>que no resulte aplicable ninguna de las excepciones al régimen de control de concentraciones previstas en el artículo 8 de la LDC</w:t>
      </w:r>
      <w:r w:rsidR="0059364E">
        <w:t>;</w:t>
      </w:r>
      <w:r w:rsidR="009A4AC0" w:rsidRPr="009A4AC0">
        <w:t xml:space="preserve"> </w:t>
      </w:r>
    </w:p>
    <w:p w14:paraId="7F7BDD87" w14:textId="0C5BEC0C" w:rsidR="009A4AC0" w:rsidRDefault="001B736D" w:rsidP="001C41E4">
      <w:pPr>
        <w:pStyle w:val="Prrafodelista"/>
        <w:numPr>
          <w:ilvl w:val="1"/>
          <w:numId w:val="20"/>
        </w:numPr>
      </w:pPr>
      <w:r>
        <w:lastRenderedPageBreak/>
        <w:t>q</w:t>
      </w:r>
      <w:r w:rsidR="009A4AC0">
        <w:t>ue los participantes del acto de concentración superen los umbrales de facturación previstos en la LDC</w:t>
      </w:r>
      <w:r w:rsidR="009A4AC0">
        <w:rPr>
          <w:rStyle w:val="Refdenotaalpie"/>
        </w:rPr>
        <w:footnoteReference w:id="4"/>
      </w:r>
      <w:r w:rsidR="00F23FC1">
        <w:t xml:space="preserve">. </w:t>
      </w:r>
    </w:p>
    <w:p w14:paraId="65FADD21" w14:textId="77777777" w:rsidR="00675EEF" w:rsidRDefault="00675EEF" w:rsidP="001C41E4">
      <w:pPr>
        <w:pStyle w:val="Prrafodelista"/>
        <w:numPr>
          <w:ilvl w:val="0"/>
          <w:numId w:val="0"/>
        </w:numPr>
        <w:ind w:left="1440"/>
      </w:pPr>
    </w:p>
    <w:p w14:paraId="0275F942" w14:textId="7199E952" w:rsidR="003E087B" w:rsidRPr="00BB3A2B" w:rsidRDefault="00774F60" w:rsidP="001C41E4">
      <w:pPr>
        <w:pStyle w:val="Prrafodelista"/>
        <w:numPr>
          <w:ilvl w:val="0"/>
          <w:numId w:val="20"/>
        </w:numPr>
        <w:rPr>
          <w:b/>
          <w:bCs/>
          <w:color w:val="1F497D" w:themeColor="text2"/>
        </w:rPr>
      </w:pPr>
      <w:r>
        <w:t xml:space="preserve"> </w:t>
      </w:r>
      <w:r w:rsidR="00590E9F">
        <w:t xml:space="preserve">Así, los requisitos aquí expuestos sirven como guía para que los participantes de una operación de concentración económica evalúen si corresponde </w:t>
      </w:r>
      <w:r w:rsidR="009E1253">
        <w:t>reportar</w:t>
      </w:r>
      <w:r w:rsidR="00FA2640">
        <w:t>la</w:t>
      </w:r>
      <w:r w:rsidR="009E1253">
        <w:t xml:space="preserve"> a </w:t>
      </w:r>
      <w:r w:rsidR="00590E9F">
        <w:t>la COPRODEC o si</w:t>
      </w:r>
      <w:r w:rsidR="00FA2640">
        <w:t>,</w:t>
      </w:r>
      <w:r w:rsidR="00590E9F">
        <w:t xml:space="preserve"> por el contrario</w:t>
      </w:r>
      <w:r w:rsidR="00FA2640">
        <w:t>,</w:t>
      </w:r>
      <w:r w:rsidR="00590E9F">
        <w:t xml:space="preserve"> no </w:t>
      </w:r>
      <w:r w:rsidR="00FA2640">
        <w:t>r</w:t>
      </w:r>
      <w:r w:rsidR="00590E9F">
        <w:t>es</w:t>
      </w:r>
      <w:r w:rsidR="00FA2640">
        <w:t>ulta</w:t>
      </w:r>
      <w:r w:rsidR="00590E9F">
        <w:t xml:space="preserve"> exigible</w:t>
      </w:r>
      <w:r w:rsidR="002F5645">
        <w:t xml:space="preserve"> su</w:t>
      </w:r>
      <w:r w:rsidR="00E604E9">
        <w:t xml:space="preserve"> autorización o</w:t>
      </w:r>
      <w:r w:rsidR="002F5645">
        <w:t xml:space="preserve"> notificación ante </w:t>
      </w:r>
      <w:r w:rsidR="003B51A7">
        <w:t xml:space="preserve">esta autoridad. </w:t>
      </w:r>
    </w:p>
    <w:p w14:paraId="3898D43E" w14:textId="676A9189" w:rsidR="00BB3A2B" w:rsidRDefault="00BB3A2B" w:rsidP="00BB3A2B">
      <w:pPr>
        <w:rPr>
          <w:b/>
          <w:bCs/>
          <w:color w:val="1F497D" w:themeColor="text2"/>
        </w:rPr>
      </w:pPr>
    </w:p>
    <w:p w14:paraId="7E5E357E" w14:textId="7F372538" w:rsidR="005B11A3" w:rsidRDefault="005B11A3" w:rsidP="00BB3A2B">
      <w:pPr>
        <w:rPr>
          <w:b/>
          <w:bCs/>
          <w:color w:val="1F497D" w:themeColor="text2"/>
        </w:rPr>
      </w:pPr>
    </w:p>
    <w:p w14:paraId="019BDEB1" w14:textId="77777777" w:rsidR="005B11A3" w:rsidRDefault="005B11A3" w:rsidP="00BB3A2B">
      <w:pPr>
        <w:rPr>
          <w:b/>
          <w:bCs/>
          <w:color w:val="1F497D" w:themeColor="text2"/>
        </w:rPr>
      </w:pPr>
    </w:p>
    <w:p w14:paraId="26898501" w14:textId="77777777" w:rsidR="00BB3A2B" w:rsidRPr="00BB3A2B" w:rsidRDefault="00BB3A2B" w:rsidP="00BB3A2B">
      <w:pPr>
        <w:rPr>
          <w:b/>
          <w:bCs/>
          <w:color w:val="1F497D" w:themeColor="text2"/>
        </w:rPr>
      </w:pPr>
    </w:p>
    <w:p w14:paraId="0FE653A2" w14:textId="485E1C3F" w:rsidR="00D07654" w:rsidRDefault="001C5D45" w:rsidP="001C6447">
      <w:pPr>
        <w:pStyle w:val="Ttulo1"/>
      </w:pPr>
      <w:bookmarkStart w:id="6" w:name="_Toc220936993"/>
      <w:r>
        <w:t xml:space="preserve">CREACIÓN O CAMBIO </w:t>
      </w:r>
      <w:r w:rsidR="00D07654">
        <w:t>DE LA ESTRUCTURA DE CONTROL</w:t>
      </w:r>
      <w:bookmarkEnd w:id="6"/>
    </w:p>
    <w:p w14:paraId="2126E32F" w14:textId="5CE74C9E" w:rsidR="005A64BC" w:rsidRPr="001C41E4" w:rsidRDefault="005A64BC" w:rsidP="001C41E4">
      <w:pPr>
        <w:pStyle w:val="Prrafodelista"/>
        <w:numPr>
          <w:ilvl w:val="0"/>
          <w:numId w:val="21"/>
        </w:numPr>
        <w:rPr>
          <w:b/>
          <w:bCs/>
          <w:i/>
          <w:iCs/>
          <w:color w:val="1F497D" w:themeColor="text2"/>
        </w:rPr>
      </w:pPr>
      <w:r w:rsidRPr="001C41E4">
        <w:rPr>
          <w:b/>
          <w:bCs/>
          <w:i/>
          <w:iCs/>
          <w:color w:val="1F497D" w:themeColor="text2"/>
        </w:rPr>
        <w:t>El concepto de control</w:t>
      </w:r>
    </w:p>
    <w:p w14:paraId="3C7BF0D2" w14:textId="0827A5D3" w:rsidR="005A64BC" w:rsidRPr="00F76C1B" w:rsidRDefault="00C933BE" w:rsidP="00900344">
      <w:pPr>
        <w:pStyle w:val="Prrafodelista"/>
        <w:numPr>
          <w:ilvl w:val="0"/>
          <w:numId w:val="20"/>
        </w:numPr>
        <w:rPr>
          <w:lang w:val="es-ES"/>
        </w:rPr>
      </w:pPr>
      <w:r>
        <w:rPr>
          <w:lang w:val="es-ES"/>
        </w:rPr>
        <w:t xml:space="preserve"> </w:t>
      </w:r>
      <w:r w:rsidR="002908D5">
        <w:rPr>
          <w:lang w:val="es-ES"/>
        </w:rPr>
        <w:t xml:space="preserve">Las pautas que siguen tienen por objeto precisar cuándo se configura una relación de control, a los efectos de la aplicación del régimen de control de concentraciones previsto en la LDC. </w:t>
      </w:r>
    </w:p>
    <w:p w14:paraId="61C5C7B8" w14:textId="77777777" w:rsidR="005A64BC" w:rsidRDefault="005A64BC" w:rsidP="001C41E4">
      <w:pPr>
        <w:pStyle w:val="Prrafodelista"/>
        <w:numPr>
          <w:ilvl w:val="0"/>
          <w:numId w:val="0"/>
        </w:numPr>
        <w:ind w:left="720"/>
        <w:rPr>
          <w:lang w:val="es-ES"/>
        </w:rPr>
      </w:pPr>
    </w:p>
    <w:p w14:paraId="27DED76A" w14:textId="332B18B3" w:rsidR="0051691F" w:rsidRPr="001C41E4" w:rsidRDefault="007957F4" w:rsidP="00900344">
      <w:pPr>
        <w:pStyle w:val="Prrafodelista"/>
        <w:numPr>
          <w:ilvl w:val="0"/>
          <w:numId w:val="20"/>
        </w:numPr>
        <w:rPr>
          <w:lang w:val="es-ES"/>
        </w:rPr>
      </w:pPr>
      <w:r>
        <w:rPr>
          <w:lang w:val="es-ES"/>
        </w:rPr>
        <w:lastRenderedPageBreak/>
        <w:t xml:space="preserve">La LDC define </w:t>
      </w:r>
      <w:r w:rsidRPr="001C41E4">
        <w:rPr>
          <w:i/>
          <w:iCs/>
          <w:lang w:val="es-ES"/>
        </w:rPr>
        <w:t>“control”</w:t>
      </w:r>
      <w:r>
        <w:rPr>
          <w:lang w:val="es-ES"/>
        </w:rPr>
        <w:t xml:space="preserve"> como </w:t>
      </w:r>
      <w:r>
        <w:rPr>
          <w:i/>
          <w:iCs/>
          <w:lang w:val="es-ES"/>
        </w:rPr>
        <w:t>“la posibilidad de influir continua y decisivamente, de manera directa o indirecta, sobre la estrategia y el comportamiento competitivo de una o varias entidades”</w:t>
      </w:r>
      <w:r w:rsidRPr="001C41E4">
        <w:rPr>
          <w:rStyle w:val="Refdenotaalpie"/>
          <w:lang w:val="es-ES"/>
        </w:rPr>
        <w:footnoteReference w:id="5"/>
      </w:r>
      <w:r w:rsidR="0051691F">
        <w:rPr>
          <w:i/>
          <w:iCs/>
          <w:lang w:val="es-ES"/>
        </w:rPr>
        <w:t>.</w:t>
      </w:r>
    </w:p>
    <w:p w14:paraId="57E6C9FF" w14:textId="77777777" w:rsidR="0051691F" w:rsidRPr="001C41E4" w:rsidRDefault="0051691F" w:rsidP="001C41E4">
      <w:pPr>
        <w:pStyle w:val="Prrafodelista"/>
        <w:numPr>
          <w:ilvl w:val="0"/>
          <w:numId w:val="0"/>
        </w:numPr>
        <w:ind w:left="720"/>
        <w:rPr>
          <w:lang w:val="es-ES"/>
        </w:rPr>
      </w:pPr>
    </w:p>
    <w:p w14:paraId="59AFAAB6" w14:textId="71CA7117" w:rsidR="00672A60" w:rsidRPr="001C41E4" w:rsidRDefault="00672A60" w:rsidP="001C41E4">
      <w:pPr>
        <w:pStyle w:val="Prrafodelista"/>
        <w:numPr>
          <w:ilvl w:val="0"/>
          <w:numId w:val="21"/>
        </w:numPr>
        <w:rPr>
          <w:b/>
          <w:bCs/>
          <w:i/>
          <w:iCs/>
          <w:color w:val="1F497D" w:themeColor="text2"/>
        </w:rPr>
      </w:pPr>
      <w:r w:rsidRPr="001C41E4">
        <w:rPr>
          <w:b/>
          <w:bCs/>
          <w:i/>
          <w:iCs/>
          <w:color w:val="1F497D" w:themeColor="text2"/>
        </w:rPr>
        <w:t>Actos objeto de reporte ante COPRODEC</w:t>
      </w:r>
    </w:p>
    <w:p w14:paraId="56EF04D2" w14:textId="30430E42" w:rsidR="00E2528C" w:rsidRDefault="00826D5D" w:rsidP="00900344">
      <w:pPr>
        <w:pStyle w:val="Prrafodelista"/>
        <w:numPr>
          <w:ilvl w:val="0"/>
          <w:numId w:val="20"/>
        </w:numPr>
      </w:pPr>
      <w:r>
        <w:t xml:space="preserve">Como </w:t>
      </w:r>
      <w:r w:rsidR="00BB10CE">
        <w:t>se ha señalado</w:t>
      </w:r>
      <w:r w:rsidR="00321076">
        <w:t>,</w:t>
      </w:r>
      <w:r w:rsidR="00BB10CE">
        <w:t xml:space="preserve"> </w:t>
      </w:r>
      <w:r>
        <w:t>la LDC</w:t>
      </w:r>
      <w:r w:rsidR="00321076">
        <w:t xml:space="preserve"> define la concentración económica como </w:t>
      </w:r>
      <w:r>
        <w:rPr>
          <w:i/>
          <w:iCs/>
        </w:rPr>
        <w:t xml:space="preserve">“la transferencia o cambio de control” </w:t>
      </w:r>
      <w:r w:rsidR="00BB10CE">
        <w:t>o</w:t>
      </w:r>
      <w:r w:rsidR="008C6BB8">
        <w:t xml:space="preserve"> la</w:t>
      </w:r>
      <w:r w:rsidR="00BB10CE">
        <w:t xml:space="preserve"> </w:t>
      </w:r>
      <w:r w:rsidRPr="001C41E4">
        <w:rPr>
          <w:i/>
          <w:iCs/>
        </w:rPr>
        <w:t>“creación o adquisición de control conjunto sobre una o varias entidades”</w:t>
      </w:r>
      <w:r>
        <w:t xml:space="preserve"> </w:t>
      </w:r>
      <w:r w:rsidRPr="00CA2951">
        <w:rPr>
          <w:rStyle w:val="Refdenotaalpie"/>
        </w:rPr>
        <w:footnoteReference w:id="6"/>
      </w:r>
      <w:r>
        <w:t xml:space="preserve">y, </w:t>
      </w:r>
      <w:r w:rsidR="008C6BB8">
        <w:t>enumera – a título meramente enunciativo- una serie de actos que implican una modificación en la estructura de control y, por ende, configuran una concentración económica</w:t>
      </w:r>
      <w:r w:rsidR="00BC4DB6">
        <w:t>, tales como “</w:t>
      </w:r>
      <w:r w:rsidR="00852125">
        <w:rPr>
          <w:i/>
          <w:iCs/>
        </w:rPr>
        <w:t>fusión de sociedades, adquisición de participaciones sociales, adquisición de establecimientos comerciales, industriales o civiles, adquisición total o parcial de activos empresariales”</w:t>
      </w:r>
      <w:r w:rsidRPr="001C41E4">
        <w:rPr>
          <w:rStyle w:val="Refdenotaalpie"/>
        </w:rPr>
        <w:footnoteReference w:id="7"/>
      </w:r>
      <w:r w:rsidR="00C933BE" w:rsidRPr="001C41E4">
        <w:rPr>
          <w:rStyle w:val="Refdenotaalpie"/>
        </w:rPr>
        <w:footnoteReference w:id="8"/>
      </w:r>
      <w:r w:rsidR="00852125" w:rsidRPr="001C41E4">
        <w:t xml:space="preserve">. </w:t>
      </w:r>
    </w:p>
    <w:p w14:paraId="7731CE21" w14:textId="77777777" w:rsidR="00E2528C" w:rsidRPr="001C41E4" w:rsidRDefault="00E2528C" w:rsidP="001C41E4">
      <w:pPr>
        <w:pStyle w:val="Prrafodelista"/>
        <w:numPr>
          <w:ilvl w:val="0"/>
          <w:numId w:val="0"/>
        </w:numPr>
        <w:ind w:left="720"/>
      </w:pPr>
    </w:p>
    <w:p w14:paraId="1B74DA98" w14:textId="536DB05E" w:rsidR="00D07654" w:rsidRDefault="00BC4DB6" w:rsidP="001C41E4">
      <w:pPr>
        <w:pStyle w:val="Prrafodelista"/>
        <w:numPr>
          <w:ilvl w:val="0"/>
          <w:numId w:val="20"/>
        </w:numPr>
        <w:ind w:left="644"/>
      </w:pPr>
      <w:r>
        <w:rPr>
          <w:lang w:val="es-ES"/>
        </w:rPr>
        <w:t xml:space="preserve">A partir de lo dispuesto en el artículo 7 de la LDC, </w:t>
      </w:r>
      <w:r w:rsidR="00183DEF">
        <w:rPr>
          <w:lang w:val="es-ES"/>
        </w:rPr>
        <w:t xml:space="preserve">incluyendo los ejemplos </w:t>
      </w:r>
      <w:r>
        <w:rPr>
          <w:lang w:val="es-ES"/>
        </w:rPr>
        <w:t xml:space="preserve">enumerados, es posible identificar tres tipos de </w:t>
      </w:r>
      <w:r>
        <w:rPr>
          <w:lang w:val="es-ES"/>
        </w:rPr>
        <w:lastRenderedPageBreak/>
        <w:t>operaciones que pueden dar</w:t>
      </w:r>
      <w:r w:rsidR="003A7FE9">
        <w:rPr>
          <w:lang w:val="es-ES"/>
        </w:rPr>
        <w:t xml:space="preserve"> lugar</w:t>
      </w:r>
      <w:r w:rsidR="00E75AFB">
        <w:rPr>
          <w:lang w:val="es-ES"/>
        </w:rPr>
        <w:t xml:space="preserve"> a una concentración económica reportable ante COPRODEC</w:t>
      </w:r>
      <w:r>
        <w:rPr>
          <w:lang w:val="es-ES"/>
        </w:rPr>
        <w:t xml:space="preserve">: </w:t>
      </w:r>
      <w:r w:rsidR="00DE31E2">
        <w:t>i</w:t>
      </w:r>
      <w:r w:rsidR="00BD6C9B">
        <w:t>)</w:t>
      </w:r>
      <w:r w:rsidR="00DE31E2">
        <w:t xml:space="preserve"> </w:t>
      </w:r>
      <w:r w:rsidR="00FE60ED">
        <w:t>la fusión de empresas previamente independientes</w:t>
      </w:r>
      <w:r w:rsidR="00DE31E2">
        <w:t>; ii) la</w:t>
      </w:r>
      <w:r w:rsidR="00FE60ED">
        <w:t xml:space="preserve"> adquisici</w:t>
      </w:r>
      <w:r w:rsidR="00146D76">
        <w:t>ó</w:t>
      </w:r>
      <w:r w:rsidR="00DE31E2">
        <w:t>n</w:t>
      </w:r>
      <w:r w:rsidR="00FE60ED">
        <w:t xml:space="preserve"> de control</w:t>
      </w:r>
      <w:r w:rsidR="007E20F9">
        <w:t xml:space="preserve">, </w:t>
      </w:r>
      <w:r w:rsidR="00FE60ED">
        <w:t>de</w:t>
      </w:r>
      <w:r w:rsidR="00DE31E2">
        <w:t xml:space="preserve"> </w:t>
      </w:r>
      <w:proofErr w:type="gramStart"/>
      <w:r w:rsidR="00DE31E2">
        <w:t>hecho</w:t>
      </w:r>
      <w:proofErr w:type="gramEnd"/>
      <w:r w:rsidR="00DE31E2">
        <w:t xml:space="preserve"> o de derecho</w:t>
      </w:r>
      <w:r w:rsidR="007E20F9">
        <w:t>,</w:t>
      </w:r>
      <w:r w:rsidR="00DE31E2">
        <w:t xml:space="preserve"> </w:t>
      </w:r>
      <w:r w:rsidR="00876A12">
        <w:t>sobre</w:t>
      </w:r>
      <w:r w:rsidR="00FE60ED">
        <w:t xml:space="preserve"> un </w:t>
      </w:r>
      <w:r w:rsidR="00CF288D">
        <w:t xml:space="preserve">agente económico previamente </w:t>
      </w:r>
      <w:r w:rsidR="00FE60ED">
        <w:t>independiente</w:t>
      </w:r>
      <w:r w:rsidR="00DE31E2">
        <w:t xml:space="preserve">; iii) la creación de empresas en participación (joint-ventures) con plenas funciones. </w:t>
      </w:r>
      <w:r w:rsidR="00023F20">
        <w:t>A continuación, se explican cada una de estas hipótesis.</w:t>
      </w:r>
    </w:p>
    <w:p w14:paraId="6CF2BAB4" w14:textId="77777777" w:rsidR="00FE60ED" w:rsidRDefault="00FE60ED" w:rsidP="00092585">
      <w:pPr>
        <w:pStyle w:val="Prrafodelista"/>
        <w:numPr>
          <w:ilvl w:val="0"/>
          <w:numId w:val="0"/>
        </w:numPr>
        <w:spacing w:line="240" w:lineRule="auto"/>
        <w:ind w:left="644"/>
      </w:pPr>
    </w:p>
    <w:p w14:paraId="36F18227" w14:textId="53BADDD4" w:rsidR="00596EA9" w:rsidRPr="005B11A3" w:rsidRDefault="00596EA9" w:rsidP="001C41E4">
      <w:pPr>
        <w:pStyle w:val="Prrafodelista"/>
        <w:numPr>
          <w:ilvl w:val="0"/>
          <w:numId w:val="22"/>
        </w:numPr>
        <w:spacing w:line="240" w:lineRule="auto"/>
        <w:rPr>
          <w:b/>
          <w:bCs/>
          <w:u w:val="single"/>
        </w:rPr>
      </w:pPr>
      <w:r w:rsidRPr="001C41E4">
        <w:rPr>
          <w:b/>
          <w:bCs/>
          <w:color w:val="1F497D" w:themeColor="text2"/>
          <w:u w:val="single"/>
        </w:rPr>
        <w:t>Fusión de sociedades</w:t>
      </w:r>
    </w:p>
    <w:p w14:paraId="42DCEA54" w14:textId="77777777" w:rsidR="005B11A3" w:rsidRPr="001C41E4" w:rsidRDefault="005B11A3" w:rsidP="005B11A3">
      <w:pPr>
        <w:pStyle w:val="Prrafodelista"/>
        <w:numPr>
          <w:ilvl w:val="0"/>
          <w:numId w:val="0"/>
        </w:numPr>
        <w:spacing w:line="240" w:lineRule="auto"/>
        <w:ind w:left="1364"/>
        <w:rPr>
          <w:b/>
          <w:bCs/>
          <w:u w:val="single"/>
        </w:rPr>
      </w:pPr>
    </w:p>
    <w:p w14:paraId="57ED50C2" w14:textId="76690890" w:rsidR="00AD07D0" w:rsidRDefault="00150345" w:rsidP="00900344">
      <w:pPr>
        <w:pStyle w:val="Prrafodelista"/>
        <w:numPr>
          <w:ilvl w:val="0"/>
          <w:numId w:val="20"/>
        </w:numPr>
        <w:ind w:left="644"/>
      </w:pPr>
      <w:r>
        <w:t xml:space="preserve">Se </w:t>
      </w:r>
      <w:r w:rsidR="00465382">
        <w:t xml:space="preserve">configura </w:t>
      </w:r>
      <w:r w:rsidR="00FE60ED">
        <w:t>una fusión</w:t>
      </w:r>
      <w:r w:rsidR="00DC3FE0">
        <w:t xml:space="preserve"> de empresas anteriormente independientes</w:t>
      </w:r>
      <w:r w:rsidR="00FE60ED">
        <w:t xml:space="preserve"> cuando dos o más empresas independientes se </w:t>
      </w:r>
      <w:r w:rsidR="00493556">
        <w:t>integran en una única empresa, ya sea mediante la creación de una nueva sociedad</w:t>
      </w:r>
      <w:r w:rsidR="004800D5">
        <w:t xml:space="preserve">, </w:t>
      </w:r>
      <w:r w:rsidR="00B9022C">
        <w:t xml:space="preserve">en cuyo </w:t>
      </w:r>
      <w:r w:rsidR="00493556">
        <w:t xml:space="preserve">caso las entidades preexistentes dejan de existir como personas jurídicas diferenciadas, o mediante la absorción de una empresa por otra, permaneciendo </w:t>
      </w:r>
      <w:r w:rsidR="00CE78D4">
        <w:t>la absorbente</w:t>
      </w:r>
      <w:r w:rsidR="00493556">
        <w:t xml:space="preserve"> como entidad jurídica subsistente. Este concepto de fusión se desprende de la Ley de Sociedades Comerciales No. 16.060, en particular de su régimen de </w:t>
      </w:r>
      <w:r w:rsidR="00493556">
        <w:lastRenderedPageBreak/>
        <w:t>fusiones y escisiones</w:t>
      </w:r>
      <w:r w:rsidR="00FB2B71">
        <w:rPr>
          <w:rStyle w:val="Refdenotaalpie"/>
        </w:rPr>
        <w:footnoteReference w:id="9"/>
      </w:r>
      <w:r w:rsidR="00493556">
        <w:t>, así como de la normativa aplicable a los grupos de interés económico</w:t>
      </w:r>
      <w:r w:rsidR="00FB2B71">
        <w:rPr>
          <w:rStyle w:val="Refdenotaalpie"/>
        </w:rPr>
        <w:footnoteReference w:id="10"/>
      </w:r>
      <w:r w:rsidR="00493556">
        <w:t xml:space="preserve">. </w:t>
      </w:r>
    </w:p>
    <w:p w14:paraId="04D48029" w14:textId="77777777" w:rsidR="005879D6" w:rsidRDefault="005879D6" w:rsidP="001C41E4">
      <w:pPr>
        <w:pStyle w:val="Prrafodelista"/>
        <w:numPr>
          <w:ilvl w:val="0"/>
          <w:numId w:val="0"/>
        </w:numPr>
        <w:ind w:left="644"/>
      </w:pPr>
    </w:p>
    <w:p w14:paraId="792548FA" w14:textId="4B5C3E49" w:rsidR="002F42DA" w:rsidRDefault="00FE60ED" w:rsidP="005B11A3">
      <w:pPr>
        <w:pStyle w:val="Prrafodelista"/>
        <w:numPr>
          <w:ilvl w:val="0"/>
          <w:numId w:val="20"/>
        </w:numPr>
        <w:ind w:left="644"/>
      </w:pPr>
      <w:r>
        <w:t>Asimismo, estaremos en presencia de una fusión</w:t>
      </w:r>
      <w:r w:rsidR="00357B6E">
        <w:t xml:space="preserve">, </w:t>
      </w:r>
      <w:r>
        <w:t xml:space="preserve">en caso de una combinación de las actividades de las empresas, </w:t>
      </w:r>
      <w:r w:rsidR="00544426">
        <w:t>creando ya no una entidad jurídica, pero sí una entidad económica.</w:t>
      </w:r>
    </w:p>
    <w:p w14:paraId="10DFEA1E" w14:textId="77777777" w:rsidR="002F42DA" w:rsidRDefault="002F42DA" w:rsidP="002F42DA">
      <w:pPr>
        <w:ind w:left="284"/>
      </w:pPr>
    </w:p>
    <w:p w14:paraId="254D20DE" w14:textId="31453958" w:rsidR="00FE60ED" w:rsidRDefault="00874E4E" w:rsidP="004370FC">
      <w:pPr>
        <w:pStyle w:val="Prrafodelista"/>
        <w:numPr>
          <w:ilvl w:val="0"/>
          <w:numId w:val="0"/>
        </w:numPr>
        <w:spacing w:line="240" w:lineRule="auto"/>
        <w:ind w:left="644"/>
      </w:pPr>
      <w:r>
        <w:t xml:space="preserve"> </w:t>
      </w:r>
    </w:p>
    <w:p w14:paraId="1AF2A5EA" w14:textId="47B5C2EE" w:rsidR="00596EA9" w:rsidRPr="001C41E4" w:rsidRDefault="00596EA9" w:rsidP="001C41E4">
      <w:pPr>
        <w:pStyle w:val="Prrafodelista"/>
        <w:numPr>
          <w:ilvl w:val="0"/>
          <w:numId w:val="22"/>
        </w:numPr>
        <w:spacing w:line="240" w:lineRule="auto"/>
        <w:rPr>
          <w:b/>
          <w:bCs/>
          <w:u w:val="single"/>
        </w:rPr>
      </w:pPr>
      <w:r>
        <w:rPr>
          <w:b/>
          <w:bCs/>
          <w:color w:val="1F497D" w:themeColor="text2"/>
        </w:rPr>
        <w:t xml:space="preserve"> </w:t>
      </w:r>
      <w:r w:rsidR="002954D9" w:rsidRPr="001C41E4">
        <w:rPr>
          <w:b/>
          <w:bCs/>
          <w:color w:val="1F497D" w:themeColor="text2"/>
          <w:u w:val="single"/>
        </w:rPr>
        <w:t xml:space="preserve">Adquisición </w:t>
      </w:r>
      <w:r w:rsidRPr="001C41E4">
        <w:rPr>
          <w:b/>
          <w:bCs/>
          <w:color w:val="1F497D" w:themeColor="text2"/>
          <w:u w:val="single"/>
        </w:rPr>
        <w:t>de control</w:t>
      </w:r>
    </w:p>
    <w:p w14:paraId="69D3BD80" w14:textId="77777777" w:rsidR="00596EA9" w:rsidRDefault="00596EA9" w:rsidP="00933322">
      <w:pPr>
        <w:pStyle w:val="Prrafodelista"/>
        <w:numPr>
          <w:ilvl w:val="0"/>
          <w:numId w:val="0"/>
        </w:numPr>
        <w:spacing w:line="240" w:lineRule="auto"/>
        <w:ind w:left="644"/>
      </w:pPr>
    </w:p>
    <w:p w14:paraId="24FCD989" w14:textId="6168A3FD" w:rsidR="00A416CD" w:rsidRDefault="006A68CD" w:rsidP="00900344">
      <w:pPr>
        <w:pStyle w:val="Prrafodelista"/>
        <w:numPr>
          <w:ilvl w:val="0"/>
          <w:numId w:val="20"/>
        </w:numPr>
      </w:pPr>
      <w:r>
        <w:t>O</w:t>
      </w:r>
      <w:r w:rsidR="00017BF1">
        <w:t>tro supuesto de concentración</w:t>
      </w:r>
      <w:r>
        <w:t xml:space="preserve"> económica</w:t>
      </w:r>
      <w:r w:rsidR="00017BF1">
        <w:t xml:space="preserve"> es aquel en que una </w:t>
      </w:r>
      <w:r w:rsidR="00061FE4">
        <w:t>o varias empresas o persona</w:t>
      </w:r>
      <w:r w:rsidR="00771BD6">
        <w:t>/</w:t>
      </w:r>
      <w:r w:rsidR="00061FE4">
        <w:t xml:space="preserve">s adquieren el control de otra </w:t>
      </w:r>
      <w:r w:rsidR="00620F3B">
        <w:t>empresa,</w:t>
      </w:r>
      <w:r w:rsidR="00061FE4">
        <w:t xml:space="preserve"> pero sin que se verifique una fusión en los términos antes </w:t>
      </w:r>
      <w:r w:rsidR="00812EBE">
        <w:t>explicados.</w:t>
      </w:r>
      <w:r w:rsidR="00061FE4">
        <w:t xml:space="preserve"> </w:t>
      </w:r>
      <w:r w:rsidR="005A1628">
        <w:t>Por “persona” debe entenderse cualquier persona física, pública o privada.</w:t>
      </w:r>
    </w:p>
    <w:p w14:paraId="48FEFC51" w14:textId="77777777" w:rsidR="001420EA" w:rsidRDefault="001420EA" w:rsidP="001C41E4">
      <w:pPr>
        <w:pStyle w:val="Prrafodelista"/>
        <w:numPr>
          <w:ilvl w:val="0"/>
          <w:numId w:val="0"/>
        </w:numPr>
        <w:ind w:left="720"/>
      </w:pPr>
    </w:p>
    <w:p w14:paraId="656AD8A0" w14:textId="2307BF6B" w:rsidR="001420EA" w:rsidRDefault="0067454F" w:rsidP="00900344">
      <w:pPr>
        <w:pStyle w:val="Prrafodelista"/>
        <w:numPr>
          <w:ilvl w:val="0"/>
          <w:numId w:val="20"/>
        </w:numPr>
      </w:pPr>
      <w:r w:rsidRPr="001C41E4">
        <w:rPr>
          <w:b/>
          <w:bCs/>
          <w:u w:val="single"/>
        </w:rPr>
        <w:lastRenderedPageBreak/>
        <w:t>Quiénes pueden ejercer el control</w:t>
      </w:r>
      <w:r>
        <w:t xml:space="preserve"> Desde la perspectiva </w:t>
      </w:r>
      <w:r w:rsidR="006A68CD">
        <w:t>del Derecho de la Competencia</w:t>
      </w:r>
      <w:r w:rsidR="00ED27AB">
        <w:t>,</w:t>
      </w:r>
      <w:r w:rsidR="009A1BC8">
        <w:t xml:space="preserve"> el control puede ser ejercido indistintamente por persona física o jurídica, pública o privada.</w:t>
      </w:r>
      <w:r w:rsidR="00771BD6">
        <w:t xml:space="preserve"> </w:t>
      </w:r>
    </w:p>
    <w:p w14:paraId="608F9056" w14:textId="77777777" w:rsidR="00620F3B" w:rsidRDefault="00620F3B" w:rsidP="001C41E4">
      <w:pPr>
        <w:pStyle w:val="Prrafodelista"/>
        <w:numPr>
          <w:ilvl w:val="0"/>
          <w:numId w:val="0"/>
        </w:numPr>
        <w:ind w:left="720"/>
      </w:pPr>
    </w:p>
    <w:p w14:paraId="10EDC2AC" w14:textId="0342CB7E" w:rsidR="00761982" w:rsidRDefault="00761982" w:rsidP="00900344">
      <w:pPr>
        <w:pStyle w:val="Prrafodelista"/>
        <w:numPr>
          <w:ilvl w:val="0"/>
          <w:numId w:val="20"/>
        </w:numPr>
      </w:pPr>
      <w:r>
        <w:t>La adquisición de</w:t>
      </w:r>
      <w:r w:rsidR="00CE21CD">
        <w:t xml:space="preserve"> control susceptible de ser </w:t>
      </w:r>
      <w:r>
        <w:t xml:space="preserve">reportado </w:t>
      </w:r>
      <w:r w:rsidR="00CE21CD">
        <w:t xml:space="preserve">a </w:t>
      </w:r>
      <w:r>
        <w:t>COPRODEC</w:t>
      </w:r>
      <w:r w:rsidR="00CE21CD">
        <w:t xml:space="preserve"> puede </w:t>
      </w:r>
      <w:r>
        <w:t>involucrar:</w:t>
      </w:r>
    </w:p>
    <w:p w14:paraId="0C51EF9E" w14:textId="77777777" w:rsidR="00761982" w:rsidRDefault="00761982" w:rsidP="001C41E4">
      <w:pPr>
        <w:pStyle w:val="Prrafodelista"/>
        <w:numPr>
          <w:ilvl w:val="0"/>
          <w:numId w:val="0"/>
        </w:numPr>
        <w:ind w:left="644"/>
      </w:pPr>
    </w:p>
    <w:p w14:paraId="25B73173" w14:textId="753DCCAB" w:rsidR="001D6CBC" w:rsidRDefault="00761982" w:rsidP="00761982">
      <w:pPr>
        <w:pStyle w:val="Prrafodelista"/>
        <w:numPr>
          <w:ilvl w:val="0"/>
          <w:numId w:val="23"/>
        </w:numPr>
      </w:pPr>
      <w:r w:rsidRPr="001C41E4">
        <w:rPr>
          <w:b/>
          <w:bCs/>
          <w:i/>
          <w:iCs/>
          <w:u w:val="single"/>
        </w:rPr>
        <w:t>Adquisición de control exclusivo:</w:t>
      </w:r>
      <w:r>
        <w:t xml:space="preserve"> cuando </w:t>
      </w:r>
      <w:r w:rsidR="00CE21CD">
        <w:t>un único agente económico tiene la posibilidad de</w:t>
      </w:r>
      <w:r w:rsidR="00B7159D">
        <w:t xml:space="preserve"> ejercer influencia decisiva sobre</w:t>
      </w:r>
      <w:r w:rsidR="00CE21CD">
        <w:t xml:space="preserve"> otro agente económico a su solo arbitrio</w:t>
      </w:r>
      <w:r w:rsidR="00B7159D">
        <w:t xml:space="preserve">. </w:t>
      </w:r>
    </w:p>
    <w:p w14:paraId="68A7FFCA" w14:textId="71752790" w:rsidR="00CE21CD" w:rsidRDefault="001D6CBC" w:rsidP="00761982">
      <w:pPr>
        <w:pStyle w:val="Prrafodelista"/>
        <w:numPr>
          <w:ilvl w:val="0"/>
          <w:numId w:val="23"/>
        </w:numPr>
      </w:pPr>
      <w:r>
        <w:rPr>
          <w:b/>
          <w:bCs/>
          <w:i/>
          <w:iCs/>
          <w:u w:val="single"/>
        </w:rPr>
        <w:t xml:space="preserve">Adquisición de control </w:t>
      </w:r>
      <w:r w:rsidR="00CE21CD" w:rsidRPr="001C41E4">
        <w:rPr>
          <w:b/>
          <w:bCs/>
          <w:i/>
          <w:iCs/>
          <w:u w:val="single"/>
        </w:rPr>
        <w:t>conjunto</w:t>
      </w:r>
      <w:r w:rsidR="00775958" w:rsidRPr="001C41E4">
        <w:rPr>
          <w:b/>
          <w:bCs/>
          <w:i/>
          <w:iCs/>
          <w:u w:val="single"/>
        </w:rPr>
        <w:t>:</w:t>
      </w:r>
      <w:r w:rsidR="00CE21CD">
        <w:t xml:space="preserve"> cuando dos o más agentes económicos tienen la posibilidad de ejercer influencia decisiva sobre otro agente económico, requiriéndose necesariamente el consenso de ambos</w:t>
      </w:r>
      <w:r w:rsidR="00092585">
        <w:rPr>
          <w:rStyle w:val="Refdenotaalpie"/>
        </w:rPr>
        <w:footnoteReference w:id="11"/>
      </w:r>
      <w:r w:rsidR="00CE21CD">
        <w:t>.</w:t>
      </w:r>
    </w:p>
    <w:p w14:paraId="57E10A06" w14:textId="77777777" w:rsidR="00CD6939" w:rsidRDefault="00CD6939" w:rsidP="001C41E4">
      <w:pPr>
        <w:pStyle w:val="Prrafodelista"/>
        <w:numPr>
          <w:ilvl w:val="0"/>
          <w:numId w:val="0"/>
        </w:numPr>
        <w:ind w:left="1512"/>
      </w:pPr>
    </w:p>
    <w:p w14:paraId="2182B6FF" w14:textId="1EC7DFAD" w:rsidR="00B86FB0" w:rsidRDefault="007B6DFF" w:rsidP="00900344">
      <w:pPr>
        <w:pStyle w:val="Prrafodelista"/>
        <w:numPr>
          <w:ilvl w:val="0"/>
          <w:numId w:val="20"/>
        </w:numPr>
      </w:pPr>
      <w:r w:rsidRPr="001C41E4">
        <w:rPr>
          <w:b/>
          <w:bCs/>
          <w:u w:val="single"/>
        </w:rPr>
        <w:t>Control “activo” y “pasivo”</w:t>
      </w:r>
      <w:r>
        <w:t xml:space="preserve"> </w:t>
      </w:r>
      <w:r w:rsidR="00CD6939">
        <w:t>Tanto el control “exclusivo” como el control “conjunto” pueden</w:t>
      </w:r>
      <w:r w:rsidR="00B86FB0">
        <w:t xml:space="preserve"> manifestarse bajo modalidad “activa” o “pasiva”.</w:t>
      </w:r>
    </w:p>
    <w:p w14:paraId="30A2AD4F" w14:textId="77777777" w:rsidR="00B86FB0" w:rsidRDefault="00B86FB0" w:rsidP="001C41E4">
      <w:pPr>
        <w:pStyle w:val="Prrafodelista"/>
        <w:numPr>
          <w:ilvl w:val="0"/>
          <w:numId w:val="0"/>
        </w:numPr>
        <w:ind w:left="720"/>
      </w:pPr>
    </w:p>
    <w:p w14:paraId="6BAE73DF" w14:textId="34CCCF7A" w:rsidR="00CD6939" w:rsidRDefault="00CD6939" w:rsidP="00900344">
      <w:pPr>
        <w:pStyle w:val="Prrafodelista"/>
        <w:numPr>
          <w:ilvl w:val="0"/>
          <w:numId w:val="20"/>
        </w:numPr>
      </w:pPr>
      <w:r>
        <w:lastRenderedPageBreak/>
        <w:t xml:space="preserve"> </w:t>
      </w:r>
      <w:r w:rsidR="00B86FB0">
        <w:t xml:space="preserve">El control será “activo” cuando el controlante </w:t>
      </w:r>
      <w:r w:rsidR="00CE21CD">
        <w:t>t</w:t>
      </w:r>
      <w:r w:rsidR="00B86FB0">
        <w:t>enga</w:t>
      </w:r>
      <w:r w:rsidR="00CE21CD">
        <w:t xml:space="preserve"> la posibilidad de determinar</w:t>
      </w:r>
      <w:r w:rsidR="00B86FB0">
        <w:t xml:space="preserve"> positivamente</w:t>
      </w:r>
      <w:r w:rsidR="00CE21CD">
        <w:t xml:space="preserve"> las decisiones sobre la estrategia y</w:t>
      </w:r>
      <w:r w:rsidR="00B86FB0">
        <w:t xml:space="preserve"> el</w:t>
      </w:r>
      <w:r w:rsidR="00CE21CD">
        <w:t xml:space="preserve"> comportamiento competitivo del agente económico </w:t>
      </w:r>
      <w:r w:rsidR="00B86FB0">
        <w:t xml:space="preserve">controlado, por ejemplo, mediante la titularidad de la mayoría de los derechos de </w:t>
      </w:r>
      <w:r>
        <w:t>voto de una compañía</w:t>
      </w:r>
      <w:r w:rsidR="00B86FB0">
        <w:t xml:space="preserve"> o la facultad de designar a la mayoría de los miembros del órgano decisorio (control exclusivo activo). </w:t>
      </w:r>
    </w:p>
    <w:p w14:paraId="37A36F23" w14:textId="77777777" w:rsidR="00B86FB0" w:rsidRDefault="00B86FB0" w:rsidP="001C41E4">
      <w:pPr>
        <w:pStyle w:val="Prrafodelista"/>
        <w:numPr>
          <w:ilvl w:val="0"/>
          <w:numId w:val="0"/>
        </w:numPr>
        <w:ind w:left="644"/>
      </w:pPr>
    </w:p>
    <w:p w14:paraId="107941F6" w14:textId="77777777" w:rsidR="00570384" w:rsidRDefault="006F550A" w:rsidP="00900344">
      <w:pPr>
        <w:pStyle w:val="Prrafodelista"/>
        <w:numPr>
          <w:ilvl w:val="0"/>
          <w:numId w:val="20"/>
        </w:numPr>
      </w:pPr>
      <w:r>
        <w:t xml:space="preserve">Por su parte, el control será “pasivo” </w:t>
      </w:r>
      <w:r w:rsidR="00570384">
        <w:t xml:space="preserve">cuando la influencia decisiva se ejerza a través de derechos de veto o bloqueo sobre la estrategia y el comportamiento competitivo del agente económico controlado.  Así, por ejemplo, existe control exclusivo pasivo cuando un único accionista detenta derechos de veto sobre decisiones estratégicas de una empresa. </w:t>
      </w:r>
    </w:p>
    <w:p w14:paraId="16E43111" w14:textId="77777777" w:rsidR="00570384" w:rsidRDefault="00570384" w:rsidP="001C41E4">
      <w:pPr>
        <w:pStyle w:val="Prrafodelista"/>
        <w:numPr>
          <w:ilvl w:val="0"/>
          <w:numId w:val="0"/>
        </w:numPr>
        <w:ind w:left="644"/>
      </w:pPr>
    </w:p>
    <w:p w14:paraId="2AC4F939" w14:textId="5ABD4ED6" w:rsidR="00DB3752" w:rsidRDefault="002E35F6" w:rsidP="00900344">
      <w:pPr>
        <w:pStyle w:val="Prrafodelista"/>
        <w:numPr>
          <w:ilvl w:val="0"/>
          <w:numId w:val="20"/>
        </w:numPr>
      </w:pPr>
      <w:r>
        <w:t xml:space="preserve">En los casos de control “conjunto”, </w:t>
      </w:r>
      <w:r w:rsidR="00DB3752">
        <w:t xml:space="preserve">la influencia decisiva suele derivar de la necesidad de consenso entre dos o más agentes económicos para la adopción de decisiones estratégicas, ya sea por la igualdad en los derechos de voto o en el nombramiento de los órganos decisorios (control conjunto activo). </w:t>
      </w:r>
    </w:p>
    <w:p w14:paraId="6199BE6C" w14:textId="77777777" w:rsidR="00DB3752" w:rsidRDefault="00DB3752" w:rsidP="001C41E4">
      <w:pPr>
        <w:pStyle w:val="Prrafodelista"/>
        <w:numPr>
          <w:ilvl w:val="0"/>
          <w:numId w:val="0"/>
        </w:numPr>
        <w:ind w:left="644"/>
      </w:pPr>
    </w:p>
    <w:p w14:paraId="3845CC55" w14:textId="67136066" w:rsidR="002E35F6" w:rsidRDefault="00DB3752" w:rsidP="00900344">
      <w:pPr>
        <w:pStyle w:val="Prrafodelista"/>
        <w:numPr>
          <w:ilvl w:val="0"/>
          <w:numId w:val="20"/>
        </w:numPr>
      </w:pPr>
      <w:r>
        <w:t xml:space="preserve">Excepcionalmente, </w:t>
      </w:r>
      <w:r w:rsidR="00334AC1">
        <w:t>también puede configurarse control conjunto aún sin igualdad formal</w:t>
      </w:r>
      <w:r w:rsidR="00F50930">
        <w:t>, cuando uno o más accionistas minoritarios dispongan de derechos de veto sobre decisiones estratégicas</w:t>
      </w:r>
      <w:r w:rsidR="00C4370E">
        <w:t xml:space="preserve"> </w:t>
      </w:r>
      <w:r w:rsidR="00F50930">
        <w:t xml:space="preserve">o </w:t>
      </w:r>
      <w:r w:rsidR="00F50930">
        <w:lastRenderedPageBreak/>
        <w:t>cuando dichas decisiones requieran la aprobación de un órgano en el que dichos accionistas minoritarios estén representados y cuya participación sea necesaria para alcanzar el quórum exigido</w:t>
      </w:r>
      <w:r w:rsidR="00C4370E">
        <w:t xml:space="preserve"> ya que en los hechos provoca el mismo efecto</w:t>
      </w:r>
      <w:r w:rsidR="00484705">
        <w:t xml:space="preserve"> </w:t>
      </w:r>
      <w:r w:rsidR="00C4370E">
        <w:t xml:space="preserve">(control conjunto pasivo). </w:t>
      </w:r>
    </w:p>
    <w:p w14:paraId="70D996BD" w14:textId="77777777" w:rsidR="00C4370E" w:rsidRDefault="00C4370E" w:rsidP="001C41E4">
      <w:pPr>
        <w:pStyle w:val="Prrafodelista"/>
        <w:numPr>
          <w:ilvl w:val="0"/>
          <w:numId w:val="0"/>
        </w:numPr>
        <w:ind w:left="644"/>
      </w:pPr>
    </w:p>
    <w:p w14:paraId="1E3CBB32" w14:textId="1AD57EC1" w:rsidR="00987863" w:rsidRDefault="00C4370E" w:rsidP="00900344">
      <w:pPr>
        <w:pStyle w:val="Prrafodelista"/>
        <w:numPr>
          <w:ilvl w:val="0"/>
          <w:numId w:val="20"/>
        </w:numPr>
      </w:pPr>
      <w:r>
        <w:t xml:space="preserve"> Los derechos de veto</w:t>
      </w:r>
      <w:r w:rsidR="00D91585">
        <w:t xml:space="preserve"> que pueden detentar </w:t>
      </w:r>
      <w:r w:rsidR="00987863">
        <w:t xml:space="preserve">los accionistas minoritarios deben recaer sobre decisiones estratégicas relativas a la política comercial y al comportamiento competitivo de la empresa en participación. Típicamente, estos derechos refieren a la facultad de </w:t>
      </w:r>
      <w:r w:rsidR="00987863" w:rsidRPr="00CE21CD">
        <w:t>bloquear la aprobación del presupuesto</w:t>
      </w:r>
      <w:r w:rsidR="00987863">
        <w:t xml:space="preserve">, del plan de negocios, de inversiones relevantes o el nombramiento de los altos directivos. Este tipo de derechos de veto confiere a su titular la capacidad de ejercer una influencia decisiva sobre el funcionamiento habitual de una empresa. </w:t>
      </w:r>
    </w:p>
    <w:p w14:paraId="0B9E573F" w14:textId="77777777" w:rsidR="00987863" w:rsidRDefault="00987863" w:rsidP="001C41E4">
      <w:pPr>
        <w:pStyle w:val="Prrafodelista"/>
        <w:numPr>
          <w:ilvl w:val="0"/>
          <w:numId w:val="0"/>
        </w:numPr>
        <w:ind w:left="644"/>
      </w:pPr>
    </w:p>
    <w:p w14:paraId="1AE6215D" w14:textId="13716A5D" w:rsidR="00987863" w:rsidRDefault="00987863" w:rsidP="00900344">
      <w:pPr>
        <w:pStyle w:val="Prrafodelista"/>
        <w:numPr>
          <w:ilvl w:val="0"/>
          <w:numId w:val="20"/>
        </w:numPr>
      </w:pPr>
      <w:r>
        <w:t xml:space="preserve">No deben confundirse con los derechos de veto usualmente reconocidos a los accionistas minoritarios respecto de decisiones extraordinarias – como la disolución de la sociedad </w:t>
      </w:r>
      <w:r w:rsidR="001E0E1B">
        <w:t>o la modificación de su objeto social-, los cuales tienen por finalidad proteger el valor de la inversión del accionista minoritario, pero no le otorgan influencia decisiva sobre</w:t>
      </w:r>
      <w:r w:rsidR="001020B7">
        <w:t xml:space="preserve"> el comportamiento competitivo de la empresa.</w:t>
      </w:r>
    </w:p>
    <w:p w14:paraId="36514207" w14:textId="67E7AF9A" w:rsidR="00D91585" w:rsidRDefault="00C4370E" w:rsidP="001C41E4">
      <w:pPr>
        <w:pStyle w:val="Prrafodelista"/>
        <w:numPr>
          <w:ilvl w:val="0"/>
          <w:numId w:val="0"/>
        </w:numPr>
        <w:ind w:left="644"/>
      </w:pPr>
      <w:r>
        <w:t xml:space="preserve"> </w:t>
      </w:r>
    </w:p>
    <w:p w14:paraId="115BA9A6" w14:textId="18587F19" w:rsidR="00C37319" w:rsidRDefault="007B6DFF" w:rsidP="00900344">
      <w:pPr>
        <w:pStyle w:val="Prrafodelista"/>
        <w:numPr>
          <w:ilvl w:val="0"/>
          <w:numId w:val="20"/>
        </w:numPr>
      </w:pPr>
      <w:r w:rsidRPr="001C41E4">
        <w:rPr>
          <w:b/>
          <w:bCs/>
          <w:u w:val="single"/>
        </w:rPr>
        <w:lastRenderedPageBreak/>
        <w:t xml:space="preserve">Control </w:t>
      </w:r>
      <w:r w:rsidR="00C53C94">
        <w:rPr>
          <w:b/>
          <w:bCs/>
          <w:u w:val="single"/>
        </w:rPr>
        <w:t>“</w:t>
      </w:r>
      <w:r w:rsidRPr="001C41E4">
        <w:rPr>
          <w:b/>
          <w:bCs/>
          <w:u w:val="single"/>
        </w:rPr>
        <w:t>de derecho” y “de hecho”</w:t>
      </w:r>
      <w:r w:rsidR="002F42DA">
        <w:rPr>
          <w:b/>
          <w:bCs/>
          <w:u w:val="single"/>
        </w:rPr>
        <w:t>.</w:t>
      </w:r>
      <w:r>
        <w:t xml:space="preserve"> </w:t>
      </w:r>
      <w:r w:rsidR="00C37319">
        <w:t xml:space="preserve">Por último, tanto el control </w:t>
      </w:r>
      <w:r w:rsidR="005C0C29">
        <w:t>“</w:t>
      </w:r>
      <w:r w:rsidR="00C37319">
        <w:t>exclusivo</w:t>
      </w:r>
      <w:r w:rsidR="005C0C29">
        <w:t>”</w:t>
      </w:r>
      <w:r w:rsidR="00ED1DA3">
        <w:t xml:space="preserve"> (activo o pasivo), como el control “conjunto” (activo o pasivo), pueden a su vez ser </w:t>
      </w:r>
      <w:r w:rsidR="00C37319">
        <w:t>de “derecho” o de “hecho”.</w:t>
      </w:r>
    </w:p>
    <w:p w14:paraId="4C62EB23" w14:textId="77777777" w:rsidR="00AC7291" w:rsidRDefault="00AC7291" w:rsidP="001C41E4">
      <w:pPr>
        <w:pStyle w:val="Prrafodelista"/>
        <w:numPr>
          <w:ilvl w:val="0"/>
          <w:numId w:val="0"/>
        </w:numPr>
        <w:ind w:left="644"/>
      </w:pPr>
    </w:p>
    <w:p w14:paraId="718517C4" w14:textId="249C5546" w:rsidR="00264544" w:rsidRDefault="00C53C94" w:rsidP="00900344">
      <w:pPr>
        <w:pStyle w:val="Prrafodelista"/>
        <w:numPr>
          <w:ilvl w:val="0"/>
          <w:numId w:val="20"/>
        </w:numPr>
      </w:pPr>
      <w:r>
        <w:t>Existe</w:t>
      </w:r>
      <w:r w:rsidR="00264544">
        <w:t xml:space="preserve"> control </w:t>
      </w:r>
      <w:r>
        <w:t>“</w:t>
      </w:r>
      <w:r w:rsidR="00264544">
        <w:t>de derecho</w:t>
      </w:r>
      <w:r>
        <w:t>”</w:t>
      </w:r>
      <w:r w:rsidR="00264544">
        <w:t xml:space="preserve"> </w:t>
      </w:r>
      <w:r w:rsidR="00E21031">
        <w:t>cuando el controlador cuenta con un título</w:t>
      </w:r>
      <w:r>
        <w:t xml:space="preserve"> jurídico</w:t>
      </w:r>
      <w:r w:rsidR="00E21031">
        <w:t xml:space="preserve"> que lo habilita directamente a ejerc</w:t>
      </w:r>
      <w:r>
        <w:t>er influencia decisiva sobre otro agente económico. Ello ocurre, por ejemplo, cuando una empresa adquiere la mayoría</w:t>
      </w:r>
      <w:r w:rsidR="00264544">
        <w:t xml:space="preserve"> de los derechos de voto de una sociedad. </w:t>
      </w:r>
      <w:r>
        <w:t xml:space="preserve">Asimismo, aún en supuestos de participación </w:t>
      </w:r>
      <w:r w:rsidR="000B0F58">
        <w:t>minoritaria, puede configurarse control exclusivo de derecho cuando, en virtud del estatuto, acuerdo de accionistas u otros instrumentos jurídicos, el accionista minoritario dispone de</w:t>
      </w:r>
      <w:r w:rsidR="00342E89">
        <w:t xml:space="preserve">l derecho a </w:t>
      </w:r>
      <w:r w:rsidR="000B0F58">
        <w:t>vetar la aprobación del plan de negocios, impidiendo la adopción de decisiones estratégicas sin su consentimiento</w:t>
      </w:r>
      <w:r w:rsidR="00572597">
        <w:t>, entre otros casos</w:t>
      </w:r>
      <w:r w:rsidR="000B0F58">
        <w:t>.</w:t>
      </w:r>
    </w:p>
    <w:p w14:paraId="0BCC5590" w14:textId="77777777" w:rsidR="00665772" w:rsidRDefault="00665772" w:rsidP="001C41E4">
      <w:pPr>
        <w:pStyle w:val="Prrafodelista"/>
        <w:numPr>
          <w:ilvl w:val="0"/>
          <w:numId w:val="0"/>
        </w:numPr>
        <w:ind w:left="720"/>
      </w:pPr>
    </w:p>
    <w:p w14:paraId="56DC9B59" w14:textId="7AFD1B5F" w:rsidR="00E21031" w:rsidRDefault="00665772" w:rsidP="00900344">
      <w:pPr>
        <w:pStyle w:val="Prrafodelista"/>
        <w:numPr>
          <w:ilvl w:val="0"/>
          <w:numId w:val="20"/>
        </w:numPr>
      </w:pPr>
      <w:r>
        <w:t>Por su parte, existe control “de hecho”</w:t>
      </w:r>
      <w:r w:rsidR="00E21031">
        <w:t xml:space="preserve"> cuando</w:t>
      </w:r>
      <w:r w:rsidR="00FE4209">
        <w:t xml:space="preserve">, aún sin contar con una participación accionaria o con derechos jurídicos que por sí mismos </w:t>
      </w:r>
      <w:r w:rsidR="00E21031">
        <w:t>confiera</w:t>
      </w:r>
      <w:r w:rsidR="00FE4209">
        <w:t>n</w:t>
      </w:r>
      <w:r w:rsidR="00E21031">
        <w:t xml:space="preserve"> influencia d</w:t>
      </w:r>
      <w:r w:rsidR="00FE4209">
        <w:t>ecisiva</w:t>
      </w:r>
      <w:r w:rsidR="00E21031">
        <w:t xml:space="preserve">, </w:t>
      </w:r>
      <w:r w:rsidR="00FE4209">
        <w:t xml:space="preserve">un agente económico puede, </w:t>
      </w:r>
      <w:r w:rsidR="00E21031">
        <w:t xml:space="preserve">en la práctica, y </w:t>
      </w:r>
      <w:r w:rsidR="00FE4209">
        <w:t xml:space="preserve">sobre la base de </w:t>
      </w:r>
      <w:r w:rsidR="00E21031">
        <w:t>situaciones de hecho, controla</w:t>
      </w:r>
      <w:r w:rsidR="00596EA9">
        <w:t>r</w:t>
      </w:r>
      <w:r w:rsidR="00E21031">
        <w:t xml:space="preserve"> la estrategia y comportamiento competitivo de</w:t>
      </w:r>
      <w:r w:rsidR="00FE4209">
        <w:t xml:space="preserve"> otro </w:t>
      </w:r>
      <w:r w:rsidR="00E21031">
        <w:t xml:space="preserve">agente económico. </w:t>
      </w:r>
    </w:p>
    <w:p w14:paraId="7F13217D" w14:textId="77777777" w:rsidR="00245184" w:rsidRDefault="00245184" w:rsidP="001C41E4">
      <w:pPr>
        <w:pStyle w:val="Prrafodelista"/>
        <w:numPr>
          <w:ilvl w:val="0"/>
          <w:numId w:val="0"/>
        </w:numPr>
        <w:ind w:left="644"/>
      </w:pPr>
    </w:p>
    <w:p w14:paraId="3D68F887" w14:textId="6A0B1D71" w:rsidR="00245184" w:rsidRDefault="002D59AD" w:rsidP="00900344">
      <w:pPr>
        <w:pStyle w:val="Prrafodelista"/>
        <w:numPr>
          <w:ilvl w:val="0"/>
          <w:numId w:val="20"/>
        </w:numPr>
      </w:pPr>
      <w:r>
        <w:t xml:space="preserve">Se adquiere control de hecho cuando resulta altamente probable que un accionista obtenga la mayoría en las asambleas de </w:t>
      </w:r>
      <w:r>
        <w:lastRenderedPageBreak/>
        <w:t xml:space="preserve">accionistas, atendiendo a su porcentaje de participación </w:t>
      </w:r>
      <w:r w:rsidR="003175AC">
        <w:t xml:space="preserve">y al comportamiento histórico de los restantes accionistas en asambleas </w:t>
      </w:r>
      <w:r w:rsidR="00676EA7">
        <w:t>anteriores. A tales efectos, deben considerarse, entre otros elementos, el grado de atomización del capital restante, la existencia de vínculos estructurales, económicos o familiares entre otros accionistas relevantes y el accionista que detenta la mayor participación, así como la estabilidad de dichas relaciones en el tiempo.</w:t>
      </w:r>
    </w:p>
    <w:p w14:paraId="51ADC405" w14:textId="77777777" w:rsidR="00676EA7" w:rsidRDefault="00676EA7" w:rsidP="001C41E4">
      <w:pPr>
        <w:pStyle w:val="Prrafodelista"/>
        <w:numPr>
          <w:ilvl w:val="0"/>
          <w:numId w:val="0"/>
        </w:numPr>
        <w:ind w:left="644"/>
      </w:pPr>
    </w:p>
    <w:p w14:paraId="645FFE5B" w14:textId="23D08324" w:rsidR="00676EA7" w:rsidRDefault="00676EA7" w:rsidP="001C41E4">
      <w:pPr>
        <w:pStyle w:val="Prrafodelista"/>
        <w:numPr>
          <w:ilvl w:val="0"/>
          <w:numId w:val="20"/>
        </w:numPr>
      </w:pPr>
      <w:r>
        <w:t xml:space="preserve">Por su parte, la mera existencia de una opción de conversión de acciones no confiere, por sí sola, control exclusivo, salvo que </w:t>
      </w:r>
      <w:r w:rsidR="0056741F">
        <w:t xml:space="preserve">su ejercicio esté previsto para un futuro próximo en virtud de acuerdos jurídicamente vinculantes. No obstante, en circunstancias excepcionales, la concurrencia de una opción de conversión con otros elementos relevantes puede conducir a la conclusión de que ya existe un control exclusivo de hecho. </w:t>
      </w:r>
    </w:p>
    <w:p w14:paraId="684093C6" w14:textId="77777777" w:rsidR="00CE21CD" w:rsidRDefault="00CE21CD" w:rsidP="00933322">
      <w:pPr>
        <w:pStyle w:val="Prrafodelista"/>
        <w:numPr>
          <w:ilvl w:val="0"/>
          <w:numId w:val="0"/>
        </w:numPr>
        <w:spacing w:line="240" w:lineRule="auto"/>
        <w:ind w:left="1440"/>
      </w:pPr>
    </w:p>
    <w:p w14:paraId="10720918" w14:textId="5F0D3288" w:rsidR="00E21031" w:rsidRDefault="00FE4209" w:rsidP="001C41E4">
      <w:pPr>
        <w:pStyle w:val="Prrafodelista"/>
        <w:numPr>
          <w:ilvl w:val="0"/>
          <w:numId w:val="20"/>
        </w:numPr>
        <w:ind w:left="644"/>
      </w:pPr>
      <w:r w:rsidRPr="001C41E4">
        <w:rPr>
          <w:b/>
          <w:bCs/>
          <w:u w:val="single"/>
        </w:rPr>
        <w:t xml:space="preserve">Objeto de </w:t>
      </w:r>
      <w:r w:rsidR="00C04A2C" w:rsidRPr="00C04A2C">
        <w:rPr>
          <w:b/>
          <w:bCs/>
          <w:u w:val="single"/>
        </w:rPr>
        <w:t>control</w:t>
      </w:r>
      <w:r w:rsidR="002F42DA">
        <w:rPr>
          <w:b/>
          <w:bCs/>
          <w:u w:val="single"/>
        </w:rPr>
        <w:t>.</w:t>
      </w:r>
      <w:r w:rsidR="00C04A2C" w:rsidRPr="001C41E4">
        <w:rPr>
          <w:b/>
          <w:bCs/>
        </w:rPr>
        <w:t xml:space="preserve"> </w:t>
      </w:r>
      <w:r w:rsidR="00CE21CD">
        <w:t>Asimismo, y según da cuenta el propio artículo 7, el control, individual o conjunt</w:t>
      </w:r>
      <w:r w:rsidR="00CF288D">
        <w:t>o</w:t>
      </w:r>
      <w:r w:rsidR="00CE21CD">
        <w:t xml:space="preserve">, activo o pasivo, </w:t>
      </w:r>
      <w:r w:rsidR="00E21031">
        <w:t xml:space="preserve">de derecho o de facto, </w:t>
      </w:r>
      <w:r w:rsidR="00CE21CD">
        <w:t xml:space="preserve">puede recaer sobre personas jurídicas </w:t>
      </w:r>
      <w:r w:rsidR="00E21031">
        <w:t xml:space="preserve">o sobre activos </w:t>
      </w:r>
      <w:r w:rsidR="00E60089">
        <w:t>empresariales</w:t>
      </w:r>
      <w:r w:rsidR="00220F60">
        <w:rPr>
          <w:rStyle w:val="Refdenotaalpie"/>
        </w:rPr>
        <w:footnoteReference w:id="12"/>
      </w:r>
      <w:r w:rsidR="00E21031">
        <w:t>.</w:t>
      </w:r>
    </w:p>
    <w:p w14:paraId="1E0C1651" w14:textId="0C032166" w:rsidR="00092585" w:rsidRDefault="00092585" w:rsidP="00933322">
      <w:pPr>
        <w:pStyle w:val="Prrafodelista"/>
        <w:numPr>
          <w:ilvl w:val="0"/>
          <w:numId w:val="0"/>
        </w:numPr>
        <w:spacing w:line="240" w:lineRule="auto"/>
        <w:ind w:left="644"/>
      </w:pPr>
    </w:p>
    <w:p w14:paraId="50C0EE4D" w14:textId="6F24F0D6" w:rsidR="00596EA9" w:rsidRPr="00596EA9" w:rsidRDefault="00E60089" w:rsidP="00596EA9">
      <w:pPr>
        <w:pStyle w:val="Prrafodelista"/>
        <w:numPr>
          <w:ilvl w:val="0"/>
          <w:numId w:val="0"/>
        </w:numPr>
        <w:spacing w:line="240" w:lineRule="auto"/>
        <w:ind w:left="644"/>
        <w:rPr>
          <w:b/>
          <w:bCs/>
        </w:rPr>
      </w:pPr>
      <w:r>
        <w:rPr>
          <w:b/>
          <w:bCs/>
          <w:color w:val="1F497D" w:themeColor="text2"/>
        </w:rPr>
        <w:lastRenderedPageBreak/>
        <w:t>Control de a</w:t>
      </w:r>
      <w:r w:rsidR="00596EA9">
        <w:rPr>
          <w:b/>
          <w:bCs/>
          <w:color w:val="1F497D" w:themeColor="text2"/>
        </w:rPr>
        <w:t>ctivos empresariales</w:t>
      </w:r>
    </w:p>
    <w:p w14:paraId="1482E7C0" w14:textId="77777777" w:rsidR="00596EA9" w:rsidRDefault="00596EA9" w:rsidP="00933322">
      <w:pPr>
        <w:pStyle w:val="Prrafodelista"/>
        <w:numPr>
          <w:ilvl w:val="0"/>
          <w:numId w:val="0"/>
        </w:numPr>
        <w:spacing w:line="240" w:lineRule="auto"/>
        <w:ind w:left="644"/>
      </w:pPr>
    </w:p>
    <w:p w14:paraId="44864E45" w14:textId="2CCE535B" w:rsidR="00C06DD1" w:rsidRDefault="002F42DA" w:rsidP="00900344">
      <w:pPr>
        <w:pStyle w:val="Prrafodelista"/>
        <w:numPr>
          <w:ilvl w:val="0"/>
          <w:numId w:val="20"/>
        </w:numPr>
        <w:ind w:left="644"/>
      </w:pPr>
      <w:r>
        <w:t>El</w:t>
      </w:r>
      <w:r w:rsidR="00C06DD1">
        <w:t xml:space="preserve"> artículo 7 de la LDC </w:t>
      </w:r>
      <w:r w:rsidR="00846122">
        <w:t>define la concentración económica</w:t>
      </w:r>
      <w:r w:rsidR="00392643">
        <w:t>, entre otros</w:t>
      </w:r>
      <w:r w:rsidR="00772298">
        <w:t xml:space="preserve"> supuestos</w:t>
      </w:r>
      <w:r w:rsidR="00392643">
        <w:t>,</w:t>
      </w:r>
      <w:r w:rsidR="00846122">
        <w:t xml:space="preserve"> como </w:t>
      </w:r>
      <w:r w:rsidR="00846122">
        <w:rPr>
          <w:i/>
          <w:iCs/>
        </w:rPr>
        <w:t xml:space="preserve">“la transferencia de la totalidad o parte de uno o más participantes o unidades económicas”, </w:t>
      </w:r>
      <w:r w:rsidR="003B5248">
        <w:t>mencionando expresamente</w:t>
      </w:r>
      <w:r w:rsidR="00846122">
        <w:t xml:space="preserve"> </w:t>
      </w:r>
      <w:r w:rsidR="00846122">
        <w:rPr>
          <w:i/>
          <w:iCs/>
        </w:rPr>
        <w:t>“la adquisición total o parcial de activos empresariales”</w:t>
      </w:r>
      <w:r w:rsidR="000559A4">
        <w:t>.</w:t>
      </w:r>
    </w:p>
    <w:p w14:paraId="4C1C9434" w14:textId="77777777" w:rsidR="0037549A" w:rsidRDefault="0037549A" w:rsidP="001C41E4">
      <w:pPr>
        <w:pStyle w:val="Prrafodelista"/>
        <w:numPr>
          <w:ilvl w:val="0"/>
          <w:numId w:val="0"/>
        </w:numPr>
        <w:ind w:left="644"/>
      </w:pPr>
    </w:p>
    <w:p w14:paraId="1EF5440A" w14:textId="0AD85116" w:rsidR="000559A4" w:rsidRDefault="000559A4" w:rsidP="00900344">
      <w:pPr>
        <w:pStyle w:val="Prrafodelista"/>
        <w:numPr>
          <w:ilvl w:val="0"/>
          <w:numId w:val="20"/>
        </w:numPr>
        <w:ind w:left="644"/>
      </w:pPr>
      <w:r>
        <w:t xml:space="preserve">En ese </w:t>
      </w:r>
      <w:r w:rsidR="007D61E1">
        <w:t>marco</w:t>
      </w:r>
      <w:r>
        <w:t xml:space="preserve">, </w:t>
      </w:r>
      <w:r w:rsidR="004C00E1">
        <w:t>corresponde precisar</w:t>
      </w:r>
      <w:r w:rsidR="00E46C07">
        <w:t xml:space="preserve"> cuándo la adquisición de activos configura la adquisición de una “empresa”, a los efectos del régimen de control de concentraciones. </w:t>
      </w:r>
    </w:p>
    <w:p w14:paraId="2CD6DA2B" w14:textId="77777777" w:rsidR="000519C4" w:rsidRDefault="000519C4" w:rsidP="001C41E4">
      <w:pPr>
        <w:pStyle w:val="Prrafodelista"/>
        <w:numPr>
          <w:ilvl w:val="0"/>
          <w:numId w:val="0"/>
        </w:numPr>
        <w:ind w:left="644"/>
      </w:pPr>
    </w:p>
    <w:p w14:paraId="21253E61" w14:textId="1E85AA7F" w:rsidR="000519C4" w:rsidRDefault="00D40C4C" w:rsidP="00900344">
      <w:pPr>
        <w:pStyle w:val="Prrafodelista"/>
        <w:numPr>
          <w:ilvl w:val="0"/>
          <w:numId w:val="20"/>
        </w:numPr>
        <w:ind w:left="644"/>
      </w:pPr>
      <w:r>
        <w:t>Al respecto,</w:t>
      </w:r>
      <w:r w:rsidR="0026157D">
        <w:t xml:space="preserve"> la COPRODEC</w:t>
      </w:r>
      <w:r w:rsidR="00C07E46">
        <w:t>, en Resolución No. 175/2022</w:t>
      </w:r>
      <w:r w:rsidR="00C07E46">
        <w:rPr>
          <w:rStyle w:val="Refdenotaalpie"/>
        </w:rPr>
        <w:footnoteReference w:id="13"/>
      </w:r>
      <w:r w:rsidR="00C700D6">
        <w:t xml:space="preserve"> plantea que la operación en cuestión debe cumplir </w:t>
      </w:r>
      <w:r w:rsidR="00C700D6" w:rsidRPr="001C41E4">
        <w:rPr>
          <w:u w:val="single"/>
        </w:rPr>
        <w:t>con alguno</w:t>
      </w:r>
      <w:r w:rsidR="00C700D6">
        <w:t xml:space="preserve"> de los siguientes requisitos: </w:t>
      </w:r>
    </w:p>
    <w:p w14:paraId="50F7300B" w14:textId="77777777" w:rsidR="00C700D6" w:rsidRDefault="00C700D6" w:rsidP="001C41E4">
      <w:pPr>
        <w:pStyle w:val="Prrafodelista"/>
        <w:numPr>
          <w:ilvl w:val="0"/>
          <w:numId w:val="0"/>
        </w:numPr>
        <w:ind w:left="644"/>
      </w:pPr>
    </w:p>
    <w:p w14:paraId="6AA181A3" w14:textId="23142BF2" w:rsidR="00C700D6" w:rsidRDefault="00C700D6" w:rsidP="00900344">
      <w:pPr>
        <w:pStyle w:val="Prrafodelista"/>
        <w:numPr>
          <w:ilvl w:val="1"/>
          <w:numId w:val="20"/>
        </w:numPr>
      </w:pPr>
      <w:r>
        <w:t xml:space="preserve">Que los activos que se transfieren tengan la capacidad de desarrollar una actividad económica durable, </w:t>
      </w:r>
      <w:proofErr w:type="spellStart"/>
      <w:r>
        <w:t>aún</w:t>
      </w:r>
      <w:proofErr w:type="spellEnd"/>
      <w:r>
        <w:t xml:space="preserve"> cuando no exista una organización o estructura societaria o corporativa de dichos activos</w:t>
      </w:r>
      <w:r w:rsidR="00A66BCB">
        <w:rPr>
          <w:rStyle w:val="Refdenotaalpie"/>
        </w:rPr>
        <w:footnoteReference w:id="14"/>
      </w:r>
      <w:r>
        <w:t>;</w:t>
      </w:r>
      <w:r w:rsidR="00900344">
        <w:t xml:space="preserve"> y/o,</w:t>
      </w:r>
    </w:p>
    <w:p w14:paraId="6C4E90AF" w14:textId="0181498E" w:rsidR="00C700D6" w:rsidRDefault="00C700D6" w:rsidP="000B6364">
      <w:pPr>
        <w:pStyle w:val="Prrafodelista"/>
        <w:numPr>
          <w:ilvl w:val="1"/>
          <w:numId w:val="20"/>
        </w:numPr>
      </w:pPr>
      <w:r>
        <w:t xml:space="preserve">Que los activos que se transfieren tengan la capacidad de producir un impacto en la competencia, particularmente cuando </w:t>
      </w:r>
      <w:r>
        <w:lastRenderedPageBreak/>
        <w:t>dichos activos otorgan al adquirente la posibilidad de desarrollar o reforzar su posición competitiva</w:t>
      </w:r>
      <w:r w:rsidR="00267857">
        <w:rPr>
          <w:rStyle w:val="Refdenotaalpie"/>
        </w:rPr>
        <w:footnoteReference w:id="15"/>
      </w:r>
      <w:r>
        <w:t xml:space="preserve">. </w:t>
      </w:r>
    </w:p>
    <w:p w14:paraId="796555D5" w14:textId="77777777" w:rsidR="00D41AF5" w:rsidRDefault="00D41AF5" w:rsidP="001C41E4">
      <w:pPr>
        <w:pStyle w:val="Prrafodelista"/>
        <w:numPr>
          <w:ilvl w:val="0"/>
          <w:numId w:val="0"/>
        </w:numPr>
        <w:ind w:left="1440"/>
      </w:pPr>
    </w:p>
    <w:p w14:paraId="77D40678" w14:textId="4102CB8A" w:rsidR="00C700D6" w:rsidRDefault="00DE2437" w:rsidP="00900344">
      <w:pPr>
        <w:pStyle w:val="Prrafodelista"/>
        <w:numPr>
          <w:ilvl w:val="0"/>
          <w:numId w:val="20"/>
        </w:numPr>
      </w:pPr>
      <w:r>
        <w:t xml:space="preserve">Por </w:t>
      </w:r>
      <w:r w:rsidR="00883E77">
        <w:t>“</w:t>
      </w:r>
      <w:r>
        <w:t>actividad económica durable</w:t>
      </w:r>
      <w:r w:rsidR="00883E77">
        <w:t>”</w:t>
      </w:r>
      <w:r>
        <w:t>, COPRODEC entiende toda aquella actividad que permita el desarrollo de una o varias actividades, a las que se les pueda atribuir un volumen de negocios independiente, con clientela y valor propios, originados en la posibilidad de generar asuntos de naturaleza económica, es decir</w:t>
      </w:r>
      <w:r w:rsidR="00E45A72">
        <w:t xml:space="preserve">, deberán permitir de alguna manera producir bienes o servicios que puedan ofrecerse en el mercado. </w:t>
      </w:r>
      <w:r>
        <w:t xml:space="preserve"> </w:t>
      </w:r>
    </w:p>
    <w:p w14:paraId="6ECC10E3" w14:textId="77777777" w:rsidR="004C00E1" w:rsidRDefault="004C00E1" w:rsidP="001C41E4">
      <w:pPr>
        <w:pStyle w:val="Prrafodelista"/>
        <w:numPr>
          <w:ilvl w:val="0"/>
          <w:numId w:val="0"/>
        </w:numPr>
        <w:ind w:left="644"/>
      </w:pPr>
    </w:p>
    <w:p w14:paraId="5667610E" w14:textId="10FD12EA" w:rsidR="001A0C32" w:rsidRDefault="007314DC" w:rsidP="007314DC">
      <w:pPr>
        <w:pStyle w:val="Prrafodelista"/>
        <w:numPr>
          <w:ilvl w:val="0"/>
          <w:numId w:val="20"/>
        </w:numPr>
      </w:pPr>
      <w:r>
        <w:t xml:space="preserve">El concepto de activos incluye </w:t>
      </w:r>
      <w:r w:rsidR="001A0C32">
        <w:t>tanto tangibles e intangibles</w:t>
      </w:r>
      <w:r w:rsidR="00192F1D">
        <w:rPr>
          <w:rStyle w:val="Refdenotaalpie"/>
        </w:rPr>
        <w:footnoteReference w:id="16"/>
      </w:r>
      <w:r>
        <w:t>.</w:t>
      </w:r>
    </w:p>
    <w:p w14:paraId="76245C1F" w14:textId="77777777" w:rsidR="007314DC" w:rsidRDefault="007314DC" w:rsidP="001C41E4">
      <w:pPr>
        <w:pStyle w:val="Prrafodelista"/>
        <w:numPr>
          <w:ilvl w:val="0"/>
          <w:numId w:val="0"/>
        </w:numPr>
        <w:ind w:left="720"/>
      </w:pPr>
    </w:p>
    <w:p w14:paraId="7B641C82" w14:textId="6B65152D" w:rsidR="007314DC" w:rsidRDefault="00B04367" w:rsidP="001C41E4">
      <w:pPr>
        <w:pStyle w:val="Prrafodelista"/>
        <w:numPr>
          <w:ilvl w:val="0"/>
          <w:numId w:val="20"/>
        </w:numPr>
      </w:pPr>
      <w:r>
        <w:t xml:space="preserve">Asimismo, la Resolución No. 175/2022 </w:t>
      </w:r>
      <w:r w:rsidR="00060082">
        <w:t>establece algunas pautas</w:t>
      </w:r>
      <w:r w:rsidR="00CA5B2D">
        <w:rPr>
          <w:rStyle w:val="Refdenotaalpie"/>
        </w:rPr>
        <w:footnoteReference w:id="17"/>
      </w:r>
      <w:r w:rsidR="00060082">
        <w:t xml:space="preserve"> que, si la operación </w:t>
      </w:r>
      <w:r w:rsidR="00971F68">
        <w:t>las cumple, en principio no se necesitará</w:t>
      </w:r>
      <w:r w:rsidR="00DA6689">
        <w:t xml:space="preserve"> reporte previo ante COPRODEC</w:t>
      </w:r>
      <w:r w:rsidR="00971F68">
        <w:t>, en tanto se entiende que no generarían un impacto en la competencia, a saber:</w:t>
      </w:r>
    </w:p>
    <w:p w14:paraId="57033A90" w14:textId="41C970C3" w:rsidR="001A0C32" w:rsidRDefault="001A0C32" w:rsidP="001C41E4">
      <w:pPr>
        <w:pStyle w:val="Prrafodelista"/>
        <w:numPr>
          <w:ilvl w:val="0"/>
          <w:numId w:val="27"/>
        </w:numPr>
      </w:pPr>
      <w:r>
        <w:t xml:space="preserve">Mientras mayor sea el tiempo en que los activos no hayan sido productivos al momento de la adquisición, </w:t>
      </w:r>
      <w:r w:rsidR="00092C43">
        <w:t>menor será la probabilidad de tener un impacto en la competencia</w:t>
      </w:r>
      <w:r w:rsidR="00DA6689">
        <w:t>;</w:t>
      </w:r>
    </w:p>
    <w:p w14:paraId="31EA9668" w14:textId="67F7AD8C" w:rsidR="001A0C32" w:rsidRDefault="001A0C32" w:rsidP="001C41E4">
      <w:pPr>
        <w:pStyle w:val="Prrafodelista"/>
        <w:numPr>
          <w:ilvl w:val="0"/>
          <w:numId w:val="27"/>
        </w:numPr>
      </w:pPr>
      <w:r>
        <w:lastRenderedPageBreak/>
        <w:t>Cuando los activos adquiridos no pueden ser utilizados para el mismo fin que se estaban empleando, no habría afectación a la competencia</w:t>
      </w:r>
      <w:r w:rsidR="00D358FE">
        <w:t>;</w:t>
      </w:r>
    </w:p>
    <w:p w14:paraId="0F98E36F" w14:textId="23C9C35B" w:rsidR="001A0C32" w:rsidRDefault="001A0C32" w:rsidP="001C41E4">
      <w:pPr>
        <w:pStyle w:val="Prrafodelista"/>
        <w:numPr>
          <w:ilvl w:val="0"/>
          <w:numId w:val="27"/>
        </w:numPr>
      </w:pPr>
      <w:r>
        <w:t>Cuando los activos adquiridos son utilizados como insumos consumibles en el proceso productivo o para la reventa, no habría afectación a la competencia</w:t>
      </w:r>
      <w:r w:rsidR="000B6364">
        <w:t>;</w:t>
      </w:r>
    </w:p>
    <w:p w14:paraId="7759D005" w14:textId="0E583854" w:rsidR="001A0C32" w:rsidRDefault="001A0C32" w:rsidP="001C41E4">
      <w:pPr>
        <w:pStyle w:val="Prrafodelista"/>
        <w:numPr>
          <w:ilvl w:val="0"/>
          <w:numId w:val="27"/>
        </w:numPr>
      </w:pPr>
      <w:r>
        <w:t>Cuando los activos adquiridos no tienen capacidad para desarrollar una actividad económica durable, o la inversión (tiempo, dinero, etc.) necesaria para que la tengan es muy significativa, es decir no se le puede atribuir un volumen de negocio propio, no habría afectación a la competencia</w:t>
      </w:r>
      <w:r w:rsidR="000B6364">
        <w:t>;</w:t>
      </w:r>
    </w:p>
    <w:p w14:paraId="4B8E4095" w14:textId="69759FD1" w:rsidR="001A0C32" w:rsidRDefault="001A0C32" w:rsidP="00971F68">
      <w:pPr>
        <w:pStyle w:val="Prrafodelista"/>
        <w:numPr>
          <w:ilvl w:val="0"/>
          <w:numId w:val="27"/>
        </w:numPr>
      </w:pPr>
      <w:r>
        <w:t>Cuando los activos sean adquiridos con el fin de ser utilizados, por un período prolongado, en un mercado sin ningún nexo (vertical u horizontal) con el uso actual del mismo, no habría afectación a la competencia.</w:t>
      </w:r>
    </w:p>
    <w:p w14:paraId="77052CE3" w14:textId="77777777" w:rsidR="00CA5B2D" w:rsidRDefault="00CA5B2D" w:rsidP="001C41E4">
      <w:pPr>
        <w:pStyle w:val="Prrafodelista"/>
        <w:numPr>
          <w:ilvl w:val="0"/>
          <w:numId w:val="0"/>
        </w:numPr>
        <w:ind w:left="1004"/>
      </w:pPr>
    </w:p>
    <w:p w14:paraId="03EC0B69" w14:textId="7B09CDE1" w:rsidR="00E16929" w:rsidRDefault="000B6364" w:rsidP="001C41E4">
      <w:pPr>
        <w:pStyle w:val="Prrafodelista"/>
        <w:numPr>
          <w:ilvl w:val="0"/>
          <w:numId w:val="20"/>
        </w:numPr>
      </w:pPr>
      <w:r>
        <w:t xml:space="preserve">Cabe recordar </w:t>
      </w:r>
      <w:r w:rsidR="00E75787">
        <w:t>que estas pautas tienen carácter orientativo y no sustituyen el análisis que corresponde realizar en cada caso concreto</w:t>
      </w:r>
      <w:r w:rsidR="00E75787">
        <w:rPr>
          <w:rStyle w:val="Refdenotaalpie"/>
        </w:rPr>
        <w:footnoteReference w:id="18"/>
      </w:r>
      <w:r w:rsidR="00E75787">
        <w:t xml:space="preserve">. </w:t>
      </w:r>
    </w:p>
    <w:p w14:paraId="41D94EDE" w14:textId="77777777" w:rsidR="004022BC" w:rsidRDefault="004022BC" w:rsidP="004022BC">
      <w:pPr>
        <w:pStyle w:val="Prrafodelista"/>
        <w:numPr>
          <w:ilvl w:val="0"/>
          <w:numId w:val="0"/>
        </w:numPr>
        <w:ind w:left="720"/>
      </w:pPr>
    </w:p>
    <w:p w14:paraId="025F57D2" w14:textId="2AC1B3CC" w:rsidR="00E16929" w:rsidRDefault="00762D89" w:rsidP="00E16929">
      <w:pPr>
        <w:pStyle w:val="Prrafodelista"/>
        <w:numPr>
          <w:ilvl w:val="0"/>
          <w:numId w:val="22"/>
        </w:numPr>
        <w:rPr>
          <w:b/>
          <w:color w:val="1F497D" w:themeColor="text2"/>
        </w:rPr>
      </w:pPr>
      <w:r w:rsidRPr="001C41E4">
        <w:rPr>
          <w:b/>
          <w:color w:val="1F497D" w:themeColor="text2"/>
        </w:rPr>
        <w:lastRenderedPageBreak/>
        <w:t xml:space="preserve">Creación </w:t>
      </w:r>
      <w:r w:rsidR="00DA25E2" w:rsidRPr="001C41E4">
        <w:rPr>
          <w:b/>
          <w:color w:val="1F497D" w:themeColor="text2"/>
        </w:rPr>
        <w:t>de empresas en participación con plenas funciones (</w:t>
      </w:r>
      <w:r w:rsidR="00DE328F" w:rsidRPr="001C41E4">
        <w:rPr>
          <w:b/>
          <w:i/>
          <w:color w:val="1F497D" w:themeColor="text2"/>
        </w:rPr>
        <w:t>“</w:t>
      </w:r>
      <w:r w:rsidR="00DA25E2" w:rsidRPr="001C41E4">
        <w:rPr>
          <w:b/>
          <w:i/>
          <w:color w:val="1F497D" w:themeColor="text2"/>
        </w:rPr>
        <w:t>joint-ventures</w:t>
      </w:r>
      <w:r w:rsidR="00DE328F">
        <w:rPr>
          <w:b/>
          <w:i/>
          <w:color w:val="1F497D" w:themeColor="text2"/>
        </w:rPr>
        <w:t>”</w:t>
      </w:r>
      <w:r w:rsidR="00DA25E2" w:rsidRPr="001C41E4">
        <w:rPr>
          <w:b/>
          <w:color w:val="1F497D" w:themeColor="text2"/>
        </w:rPr>
        <w:t>)</w:t>
      </w:r>
    </w:p>
    <w:p w14:paraId="4E864DC8" w14:textId="5D7224A6" w:rsidR="00DA25E2" w:rsidRPr="001C41E4" w:rsidRDefault="003F5F71" w:rsidP="00DA25E2">
      <w:pPr>
        <w:pStyle w:val="Prrafodelista"/>
        <w:numPr>
          <w:ilvl w:val="0"/>
          <w:numId w:val="20"/>
        </w:numPr>
        <w:rPr>
          <w:color w:val="1F497D" w:themeColor="text2"/>
        </w:rPr>
      </w:pPr>
      <w:r>
        <w:t>Un</w:t>
      </w:r>
      <w:r w:rsidR="00B7078C">
        <w:t>a empresa en participación o</w:t>
      </w:r>
      <w:r>
        <w:t xml:space="preserve"> </w:t>
      </w:r>
      <w:r w:rsidR="00B7078C" w:rsidRPr="001C41E4">
        <w:rPr>
          <w:i/>
        </w:rPr>
        <w:t>“</w:t>
      </w:r>
      <w:r w:rsidRPr="001C41E4">
        <w:rPr>
          <w:i/>
        </w:rPr>
        <w:t>joint-venture</w:t>
      </w:r>
      <w:r w:rsidR="00B7078C">
        <w:t>”</w:t>
      </w:r>
      <w:r>
        <w:t xml:space="preserve"> </w:t>
      </w:r>
      <w:r w:rsidR="001046F4">
        <w:t>es una asociación de agentes económicos creada para llevar a cabo un proyecto empresarial específico</w:t>
      </w:r>
      <w:r w:rsidR="00B74C2E">
        <w:t>.</w:t>
      </w:r>
    </w:p>
    <w:p w14:paraId="7EF4E392" w14:textId="77777777" w:rsidR="00B74C2E" w:rsidRPr="001C41E4" w:rsidRDefault="00B74C2E" w:rsidP="001C41E4">
      <w:pPr>
        <w:pStyle w:val="Prrafodelista"/>
        <w:numPr>
          <w:ilvl w:val="0"/>
          <w:numId w:val="0"/>
        </w:numPr>
        <w:ind w:left="720"/>
        <w:rPr>
          <w:color w:val="1F497D" w:themeColor="text2"/>
        </w:rPr>
      </w:pPr>
    </w:p>
    <w:p w14:paraId="78011AE8" w14:textId="404B0B1C" w:rsidR="00B74C2E" w:rsidRPr="001C41E4" w:rsidRDefault="00B74C2E" w:rsidP="00DA25E2">
      <w:pPr>
        <w:pStyle w:val="Prrafodelista"/>
        <w:numPr>
          <w:ilvl w:val="0"/>
          <w:numId w:val="20"/>
        </w:numPr>
        <w:rPr>
          <w:color w:val="1F497D" w:themeColor="text2"/>
        </w:rPr>
      </w:pPr>
      <w:r>
        <w:t xml:space="preserve">Este tipo de estructuras </w:t>
      </w:r>
      <w:r w:rsidR="00A8368C">
        <w:t xml:space="preserve">suele adoptarse para </w:t>
      </w:r>
      <w:r w:rsidR="00625CD1">
        <w:t xml:space="preserve">compartir los riesgos y los requerimientos </w:t>
      </w:r>
      <w:r w:rsidR="00682B36">
        <w:t xml:space="preserve">de inversión </w:t>
      </w:r>
      <w:r w:rsidR="0049256A">
        <w:t>asociados a determinados proyectos empresariales</w:t>
      </w:r>
      <w:r w:rsidR="000D704B">
        <w:t xml:space="preserve">, lo que explica su uso frecuente en sectores que demandan inversiones </w:t>
      </w:r>
      <w:r w:rsidR="00A8368C">
        <w:t xml:space="preserve">distribuir riesgos y requerimientos de inversión </w:t>
      </w:r>
      <w:r w:rsidR="00625CD1">
        <w:t xml:space="preserve">propios de determinados proyectos, razón por la cual es frecuente su utilización en sectores que demandan inversiones significativas de capital o presentan elevados niveles de incertidumbre, como la explotación de recursos naturales o el desarrollo tecnológico. </w:t>
      </w:r>
    </w:p>
    <w:p w14:paraId="78462228" w14:textId="77777777" w:rsidR="00625CD1" w:rsidRPr="001C41E4" w:rsidRDefault="00625CD1" w:rsidP="001C41E4">
      <w:pPr>
        <w:pStyle w:val="Prrafodelista"/>
        <w:numPr>
          <w:ilvl w:val="0"/>
          <w:numId w:val="0"/>
        </w:numPr>
        <w:ind w:left="644"/>
        <w:rPr>
          <w:color w:val="1F497D" w:themeColor="text2"/>
        </w:rPr>
      </w:pPr>
    </w:p>
    <w:p w14:paraId="49CC8B63" w14:textId="09991EB5" w:rsidR="000155F9" w:rsidRPr="001C41E4" w:rsidRDefault="00156379">
      <w:pPr>
        <w:pStyle w:val="Prrafodelista"/>
        <w:numPr>
          <w:ilvl w:val="0"/>
          <w:numId w:val="20"/>
        </w:numPr>
        <w:rPr>
          <w:color w:val="1F497D" w:themeColor="text2"/>
        </w:rPr>
      </w:pPr>
      <w:r w:rsidRPr="001C41E4">
        <w:t>Entre los casos pasibles de reporte</w:t>
      </w:r>
      <w:r>
        <w:t xml:space="preserve">, </w:t>
      </w:r>
      <w:r w:rsidR="00342639">
        <w:t xml:space="preserve">se encuentran aquellos en los que la empresa en participación revista las características propias de una entidad económica con funciones plenas. A tales efectos, no se exige una autonomía absoluta en la adopción de decisiones estratégicas por parte de las matrices, resultando suficiente la existencia de autonomía operativa o funcional. </w:t>
      </w:r>
    </w:p>
    <w:p w14:paraId="470C35D9" w14:textId="77777777" w:rsidR="000155F9" w:rsidRDefault="000155F9" w:rsidP="001C41E4">
      <w:pPr>
        <w:pStyle w:val="Prrafodelista"/>
        <w:numPr>
          <w:ilvl w:val="0"/>
          <w:numId w:val="0"/>
        </w:numPr>
        <w:ind w:left="644"/>
      </w:pPr>
    </w:p>
    <w:p w14:paraId="4CEA1C1F" w14:textId="19C13A81" w:rsidR="00BC5704" w:rsidRPr="007313D6" w:rsidRDefault="000155F9" w:rsidP="00551E42">
      <w:pPr>
        <w:pStyle w:val="Prrafodelista"/>
        <w:numPr>
          <w:ilvl w:val="0"/>
          <w:numId w:val="20"/>
        </w:numPr>
        <w:rPr>
          <w:color w:val="1F497D" w:themeColor="text2"/>
        </w:rPr>
      </w:pPr>
      <w:r>
        <w:lastRenderedPageBreak/>
        <w:t>En este marco, y sin perjuicio del análisis caso a caso que corresponda</w:t>
      </w:r>
      <w:r w:rsidR="007E6B55">
        <w:rPr>
          <w:rStyle w:val="Refdenotaalpie"/>
        </w:rPr>
        <w:footnoteReference w:id="19"/>
      </w:r>
      <w:r>
        <w:t xml:space="preserve">, la COPRODEC valorará, entre otros elementos relevantes: i) si la empresa en participación </w:t>
      </w:r>
      <w:r w:rsidR="00551E42">
        <w:t xml:space="preserve">desempeña funciones que normalmente desarrollan los operadores que actúan en el mercado en que intervendrá, contando para ello con los recursos financieros, humanos, activos u otros que resulten necesarios para el desarrollo de su actividad; ii) si su actividad trasciende un carácter meramente auxiliar respecto de la de sus matrices, integrándose en un mercado que las exceda; y iii) si la empresa en participación presenta una proyección de permanencia suficiente como para generar un cambio duradero en la estructura del mercado, </w:t>
      </w:r>
      <w:proofErr w:type="spellStart"/>
      <w:r w:rsidR="00551E42">
        <w:t>aún</w:t>
      </w:r>
      <w:proofErr w:type="spellEnd"/>
      <w:r w:rsidR="00551E42">
        <w:t xml:space="preserve"> cuando el contrato de joint-venture prevea un plazo de duración determinado o admita prórroga.</w:t>
      </w:r>
    </w:p>
    <w:p w14:paraId="199CC66F" w14:textId="77777777" w:rsidR="007313D6" w:rsidRPr="001C41E4" w:rsidRDefault="007313D6" w:rsidP="007313D6">
      <w:pPr>
        <w:pStyle w:val="Prrafodelista"/>
        <w:numPr>
          <w:ilvl w:val="0"/>
          <w:numId w:val="0"/>
        </w:numPr>
        <w:ind w:left="720"/>
        <w:rPr>
          <w:color w:val="1F497D" w:themeColor="text2"/>
        </w:rPr>
      </w:pPr>
    </w:p>
    <w:p w14:paraId="6947D25E" w14:textId="25F51CB3" w:rsidR="008F0A6D" w:rsidRDefault="008F0A6D" w:rsidP="001C41E4">
      <w:pPr>
        <w:pStyle w:val="Prrafodelista"/>
        <w:numPr>
          <w:ilvl w:val="0"/>
          <w:numId w:val="20"/>
        </w:numPr>
      </w:pPr>
      <w:r w:rsidRPr="00910491">
        <w:t>La figura del joint</w:t>
      </w:r>
      <w:r w:rsidR="00F205AE">
        <w:t>-</w:t>
      </w:r>
      <w:r w:rsidRPr="00910491">
        <w:t xml:space="preserve">venture se encuentra comprendida en el artículo 7 de la LDC, en cuanto este refiere a </w:t>
      </w:r>
      <w:r w:rsidR="005E30E5" w:rsidRPr="001C41E4">
        <w:rPr>
          <w:i/>
          <w:iCs/>
        </w:rPr>
        <w:t>“</w:t>
      </w:r>
      <w:r w:rsidRPr="001C41E4">
        <w:rPr>
          <w:i/>
          <w:iCs/>
        </w:rPr>
        <w:t>la creación de control conjunto</w:t>
      </w:r>
      <w:r w:rsidR="005E30E5" w:rsidRPr="001C41E4">
        <w:rPr>
          <w:i/>
          <w:iCs/>
        </w:rPr>
        <w:t>”</w:t>
      </w:r>
      <w:r w:rsidRPr="00910491">
        <w:t xml:space="preserve">. En tal sentido, los joint ventures greenfield pueden quedar alcanzados por el régimen de control de concentraciones aun cuando no involucren la transferencia de activos empresariales preexistentes, en la medida en que la creación de una entidad bajo </w:t>
      </w:r>
      <w:r w:rsidRPr="00910491">
        <w:lastRenderedPageBreak/>
        <w:t>control conjunto introduzca un cambio estructural duradero en el mercado.</w:t>
      </w:r>
    </w:p>
    <w:p w14:paraId="3D5B4AA4" w14:textId="77777777" w:rsidR="008E7328" w:rsidRPr="00910491" w:rsidRDefault="008E7328" w:rsidP="008E7328">
      <w:pPr>
        <w:pStyle w:val="Prrafodelista"/>
        <w:numPr>
          <w:ilvl w:val="0"/>
          <w:numId w:val="0"/>
        </w:numPr>
        <w:ind w:left="644"/>
      </w:pPr>
    </w:p>
    <w:p w14:paraId="3079E58D" w14:textId="4B51B147" w:rsidR="008F0A6D" w:rsidRPr="00910491" w:rsidRDefault="008F0A6D" w:rsidP="001C41E4">
      <w:pPr>
        <w:pStyle w:val="Prrafodelista"/>
        <w:numPr>
          <w:ilvl w:val="0"/>
          <w:numId w:val="20"/>
        </w:numPr>
      </w:pPr>
      <w:r w:rsidRPr="00910491">
        <w:t xml:space="preserve">Ello se debe a que </w:t>
      </w:r>
      <w:r w:rsidR="00927670">
        <w:t>el reporte</w:t>
      </w:r>
      <w:r w:rsidRPr="00910491">
        <w:t xml:space="preserve"> de este tipo de operaciones no se funda en la </w:t>
      </w:r>
      <w:r w:rsidR="00410F78">
        <w:t>toma de control</w:t>
      </w:r>
      <w:r w:rsidRPr="00910491">
        <w:t xml:space="preserve"> de empresas o activos, sino en la coordinación estable de capacidades económicas y estratégicas entre agentes económicos que compiten entre sí, o que mantienen relaciones verticales —tales como proveedor-cliente—, a través de una entidad que actúa como operador económico autónomo en el mercado.</w:t>
      </w:r>
    </w:p>
    <w:p w14:paraId="757593D1" w14:textId="6654651C" w:rsidR="00933322" w:rsidRDefault="00933322" w:rsidP="001C41E4"/>
    <w:p w14:paraId="3AB4A7F8" w14:textId="77777777" w:rsidR="00596EA9" w:rsidRPr="00596EA9" w:rsidRDefault="00596EA9" w:rsidP="00596EA9">
      <w:pPr>
        <w:pStyle w:val="Prrafodelista"/>
        <w:numPr>
          <w:ilvl w:val="0"/>
          <w:numId w:val="0"/>
        </w:numPr>
        <w:spacing w:line="240" w:lineRule="auto"/>
        <w:ind w:left="644"/>
        <w:rPr>
          <w:b/>
          <w:bCs/>
        </w:rPr>
      </w:pPr>
      <w:r>
        <w:rPr>
          <w:b/>
          <w:bCs/>
          <w:color w:val="1F497D" w:themeColor="text2"/>
        </w:rPr>
        <w:t>Excepciones legales</w:t>
      </w:r>
    </w:p>
    <w:p w14:paraId="3F9CB66D" w14:textId="77777777" w:rsidR="00596EA9" w:rsidRPr="00933322" w:rsidRDefault="00596EA9" w:rsidP="002A186A">
      <w:pPr>
        <w:pStyle w:val="Prrafodelista"/>
        <w:numPr>
          <w:ilvl w:val="0"/>
          <w:numId w:val="0"/>
        </w:numPr>
        <w:ind w:left="644"/>
        <w:rPr>
          <w:lang w:val="es-ES"/>
        </w:rPr>
      </w:pPr>
    </w:p>
    <w:p w14:paraId="7A0F4B8F" w14:textId="608102B2" w:rsidR="00933322" w:rsidRPr="00933322" w:rsidRDefault="00B67005" w:rsidP="001C41E4">
      <w:pPr>
        <w:pStyle w:val="Prrafodelista"/>
        <w:numPr>
          <w:ilvl w:val="0"/>
          <w:numId w:val="20"/>
        </w:numPr>
        <w:ind w:left="644"/>
      </w:pPr>
      <w:r>
        <w:rPr>
          <w:lang w:val="es-ES"/>
        </w:rPr>
        <w:t>Por último, y s</w:t>
      </w:r>
      <w:r w:rsidR="00933322">
        <w:rPr>
          <w:lang w:val="es-ES"/>
        </w:rPr>
        <w:t xml:space="preserve">egún </w:t>
      </w:r>
      <w:r>
        <w:rPr>
          <w:lang w:val="es-ES"/>
        </w:rPr>
        <w:t xml:space="preserve">prescribe </w:t>
      </w:r>
      <w:r w:rsidR="00933322">
        <w:rPr>
          <w:lang w:val="es-ES"/>
        </w:rPr>
        <w:t>el artículo 8, de la Ley 18.159</w:t>
      </w:r>
      <w:r>
        <w:rPr>
          <w:lang w:val="es-ES"/>
        </w:rPr>
        <w:t>,</w:t>
      </w:r>
      <w:r w:rsidR="00933322">
        <w:rPr>
          <w:lang w:val="es-ES"/>
        </w:rPr>
        <w:t xml:space="preserve"> no corresponderá</w:t>
      </w:r>
      <w:r w:rsidR="008A6417">
        <w:rPr>
          <w:lang w:val="es-ES"/>
        </w:rPr>
        <w:t xml:space="preserve"> reportar</w:t>
      </w:r>
      <w:r w:rsidR="00933322">
        <w:rPr>
          <w:lang w:val="es-ES"/>
        </w:rPr>
        <w:t xml:space="preserve"> las siguientes transacciones, aun cuando cumpliesen los requisitos para considerarlas una concentración económica:</w:t>
      </w:r>
    </w:p>
    <w:p w14:paraId="37D2B698" w14:textId="77777777" w:rsidR="00933322" w:rsidRPr="00B67005" w:rsidRDefault="00933322" w:rsidP="001C41E4">
      <w:pPr>
        <w:pStyle w:val="Prrafodelista"/>
        <w:numPr>
          <w:ilvl w:val="1"/>
          <w:numId w:val="20"/>
        </w:numPr>
      </w:pPr>
      <w:r w:rsidRPr="00B67005">
        <w:t>La adquisición de empresas en las cuales el comprador ya tenía al menos un 50% (cincuenta por ciento) de las acciones de la misma.</w:t>
      </w:r>
    </w:p>
    <w:p w14:paraId="29B3B29F" w14:textId="77777777" w:rsidR="00933322" w:rsidRPr="00B67005" w:rsidRDefault="00933322" w:rsidP="001C41E4">
      <w:pPr>
        <w:pStyle w:val="Prrafodelista"/>
        <w:numPr>
          <w:ilvl w:val="1"/>
          <w:numId w:val="20"/>
        </w:numPr>
      </w:pPr>
      <w:r w:rsidRPr="00B67005">
        <w:t>Las adquisiciones de bonos, debentures, obligaciones, cualquier otro título de deuda de la empresa, o acciones sin derecho a voto.</w:t>
      </w:r>
    </w:p>
    <w:p w14:paraId="6DD84996" w14:textId="77777777" w:rsidR="00933322" w:rsidRPr="00B67005" w:rsidRDefault="00933322" w:rsidP="001C41E4">
      <w:pPr>
        <w:pStyle w:val="Prrafodelista"/>
        <w:numPr>
          <w:ilvl w:val="1"/>
          <w:numId w:val="20"/>
        </w:numPr>
      </w:pPr>
      <w:r w:rsidRPr="00B67005">
        <w:lastRenderedPageBreak/>
        <w:t>La adquisición de una única empresa por parte de una única empresa extranjera que no posea previamente activos o acciones de otras empresas en el país.</w:t>
      </w:r>
      <w:r w:rsidR="00C447F3">
        <w:t xml:space="preserve"> </w:t>
      </w:r>
    </w:p>
    <w:p w14:paraId="1D8BF8CE" w14:textId="0260A5ED" w:rsidR="00933322" w:rsidRPr="005B11A3" w:rsidRDefault="00933322" w:rsidP="001C41E4">
      <w:pPr>
        <w:pStyle w:val="Prrafodelista"/>
        <w:numPr>
          <w:ilvl w:val="1"/>
          <w:numId w:val="20"/>
        </w:numPr>
      </w:pPr>
      <w:r w:rsidRPr="00B67005">
        <w:rPr>
          <w:lang w:val="es-ES"/>
        </w:rPr>
        <w:t>La adquisición de empresas declaradas en concurso, siempre que en el proceso licitatorio se haya presentado un único oferente</w:t>
      </w:r>
      <w:r>
        <w:rPr>
          <w:rStyle w:val="Refdenotaalpie"/>
          <w:color w:val="333333"/>
        </w:rPr>
        <w:footnoteReference w:id="20"/>
      </w:r>
      <w:r w:rsidRPr="00933322">
        <w:rPr>
          <w:color w:val="333333"/>
        </w:rPr>
        <w:t>.</w:t>
      </w:r>
    </w:p>
    <w:p w14:paraId="50CA1CBC" w14:textId="77777777" w:rsidR="005B11A3" w:rsidRPr="00933322" w:rsidRDefault="005B11A3" w:rsidP="005B11A3">
      <w:pPr>
        <w:pStyle w:val="Prrafodelista"/>
        <w:numPr>
          <w:ilvl w:val="0"/>
          <w:numId w:val="0"/>
        </w:numPr>
        <w:ind w:left="1440"/>
      </w:pPr>
    </w:p>
    <w:p w14:paraId="1DD4AD50" w14:textId="576C2BD9" w:rsidR="00596EA9" w:rsidRDefault="000B5B23" w:rsidP="00B67005">
      <w:pPr>
        <w:ind w:left="284"/>
        <w:jc w:val="both"/>
        <w:rPr>
          <w:rFonts w:ascii="Arial" w:hAnsi="Arial" w:cs="Arial"/>
          <w:b/>
          <w:bCs/>
          <w:color w:val="1F497D" w:themeColor="text2"/>
          <w:sz w:val="24"/>
          <w:szCs w:val="24"/>
        </w:rPr>
      </w:pPr>
      <w:r>
        <w:rPr>
          <w:rFonts w:ascii="Arial" w:hAnsi="Arial" w:cs="Arial"/>
          <w:b/>
          <w:bCs/>
          <w:color w:val="1F497D" w:themeColor="text2"/>
          <w:sz w:val="24"/>
          <w:szCs w:val="24"/>
        </w:rPr>
        <w:t>Excepción de first-landing</w:t>
      </w:r>
    </w:p>
    <w:p w14:paraId="24175E9C" w14:textId="21AC79FB" w:rsidR="000B5B23" w:rsidRDefault="00776761" w:rsidP="00776761">
      <w:pPr>
        <w:pStyle w:val="Prrafodelista"/>
        <w:numPr>
          <w:ilvl w:val="0"/>
          <w:numId w:val="20"/>
        </w:numPr>
      </w:pPr>
      <w:r w:rsidRPr="001C41E4">
        <w:t xml:space="preserve">Cuando </w:t>
      </w:r>
      <w:r>
        <w:t>la LDC refiere a la adquisición de una “única empresa”, resulta necesario delimitar cuándo distintas personas jurídicas deben ser consideradas</w:t>
      </w:r>
      <w:r w:rsidR="00EA7C31">
        <w:t>, a efectos del derecho de la competencia, como un</w:t>
      </w:r>
      <w:r w:rsidR="0003221F">
        <w:t xml:space="preserve"> único grupo empresarial.</w:t>
      </w:r>
    </w:p>
    <w:p w14:paraId="7B50B323" w14:textId="77777777" w:rsidR="00EA7C31" w:rsidRDefault="00EA7C31" w:rsidP="001C41E4">
      <w:pPr>
        <w:pStyle w:val="Prrafodelista"/>
        <w:numPr>
          <w:ilvl w:val="0"/>
          <w:numId w:val="0"/>
        </w:numPr>
        <w:ind w:left="720"/>
      </w:pPr>
    </w:p>
    <w:p w14:paraId="2BE1E34B" w14:textId="7741140F" w:rsidR="00EA7C31" w:rsidRDefault="00EA7C31" w:rsidP="00776761">
      <w:pPr>
        <w:pStyle w:val="Prrafodelista"/>
        <w:numPr>
          <w:ilvl w:val="0"/>
          <w:numId w:val="20"/>
        </w:numPr>
      </w:pPr>
      <w:r>
        <w:t>A tales efectos</w:t>
      </w:r>
      <w:r w:rsidR="00DC6371">
        <w:t xml:space="preserve">, se impone definir </w:t>
      </w:r>
      <w:r w:rsidR="006E7899">
        <w:t>el concepto de “grupo económico”, noción relevante para determinar si el objeto de la operación constituye una única empresa,</w:t>
      </w:r>
      <w:r w:rsidR="004557F0">
        <w:t xml:space="preserve"> a efectos de la aplicación de la excepción de “first-landing” (o primer desembarco), así como también para el</w:t>
      </w:r>
      <w:r w:rsidR="006E7899">
        <w:t xml:space="preserve"> cálculo de los umbrales de facturación y para</w:t>
      </w:r>
      <w:r w:rsidR="00894542">
        <w:t xml:space="preserve"> reforzar </w:t>
      </w:r>
      <w:r w:rsidR="001C4DA4">
        <w:t>la</w:t>
      </w:r>
      <w:r w:rsidR="00894542">
        <w:t xml:space="preserve"> argumenta</w:t>
      </w:r>
      <w:r w:rsidR="001C4DA4">
        <w:t>ción en</w:t>
      </w:r>
      <w:r w:rsidR="00894542">
        <w:t xml:space="preserve"> </w:t>
      </w:r>
      <w:r w:rsidR="006E7899">
        <w:t>supuestos de control de hecho</w:t>
      </w:r>
      <w:r w:rsidR="004557F0">
        <w:t>, entre otras hipótesis</w:t>
      </w:r>
      <w:r w:rsidR="006E7899">
        <w:t>.</w:t>
      </w:r>
    </w:p>
    <w:p w14:paraId="131022E4" w14:textId="77777777" w:rsidR="006E7899" w:rsidRDefault="006E7899" w:rsidP="001C41E4">
      <w:pPr>
        <w:pStyle w:val="Prrafodelista"/>
        <w:numPr>
          <w:ilvl w:val="0"/>
          <w:numId w:val="0"/>
        </w:numPr>
        <w:ind w:left="644"/>
      </w:pPr>
    </w:p>
    <w:p w14:paraId="3A6014F1" w14:textId="763F89E0" w:rsidR="006E7899" w:rsidRDefault="00FA6AFF" w:rsidP="00776761">
      <w:pPr>
        <w:pStyle w:val="Prrafodelista"/>
        <w:numPr>
          <w:ilvl w:val="0"/>
          <w:numId w:val="20"/>
        </w:numPr>
      </w:pPr>
      <w:r>
        <w:t xml:space="preserve">En ese contexto, a efectos de la aplicación del régimen de la LDC, se entenderá que existe “grupo económico” cuando dos o más personas físicas o jurídicas, </w:t>
      </w:r>
      <w:r w:rsidR="00A3732E">
        <w:t>se encuentren vinculadas de forma tal que</w:t>
      </w:r>
      <w:r w:rsidR="009A33DA">
        <w:t xml:space="preserve"> se verifique alguno de los siguientes supuestos</w:t>
      </w:r>
      <w:r w:rsidR="00A3732E">
        <w:t xml:space="preserve">: </w:t>
      </w:r>
    </w:p>
    <w:p w14:paraId="16A99865" w14:textId="23F8C2FF" w:rsidR="00A3732E" w:rsidRDefault="00A3732E" w:rsidP="00A3732E">
      <w:pPr>
        <w:pStyle w:val="Prrafodelista"/>
        <w:numPr>
          <w:ilvl w:val="0"/>
          <w:numId w:val="35"/>
        </w:numPr>
      </w:pPr>
      <w:r>
        <w:t>Una ejerza control, directo o indirecto, sobre otra;</w:t>
      </w:r>
    </w:p>
    <w:p w14:paraId="714BC19C" w14:textId="271A4EB9" w:rsidR="00A3732E" w:rsidRDefault="00A3732E" w:rsidP="00A3732E">
      <w:pPr>
        <w:pStyle w:val="Prrafodelista"/>
        <w:numPr>
          <w:ilvl w:val="0"/>
          <w:numId w:val="35"/>
        </w:numPr>
      </w:pPr>
      <w:r>
        <w:t>Se encuentren bajo control común</w:t>
      </w:r>
      <w:r w:rsidR="0021744B">
        <w:t>, directo o indirecto,</w:t>
      </w:r>
      <w:r>
        <w:t xml:space="preserve"> de una misma persona física o jurídica;</w:t>
      </w:r>
    </w:p>
    <w:p w14:paraId="40A58C5D" w14:textId="7E994B56" w:rsidR="00FF10D3" w:rsidRDefault="00A3732E" w:rsidP="00FF10D3">
      <w:pPr>
        <w:pStyle w:val="Prrafodelista"/>
        <w:numPr>
          <w:ilvl w:val="0"/>
          <w:numId w:val="35"/>
        </w:numPr>
      </w:pPr>
      <w:r>
        <w:t xml:space="preserve">En general, exista una unidad en el centro de decisión, que permita influir de manera decisiva en la estrategia </w:t>
      </w:r>
      <w:r w:rsidR="00822A04">
        <w:t xml:space="preserve">y el comportamiento competitivo </w:t>
      </w:r>
      <w:r w:rsidR="0004059B">
        <w:t>o las decisiones económicas relevantes de las entidades involucradas</w:t>
      </w:r>
      <w:r w:rsidR="00FF10D3">
        <w:t>;</w:t>
      </w:r>
    </w:p>
    <w:p w14:paraId="59EC10E9" w14:textId="77777777" w:rsidR="009A33DA" w:rsidRDefault="009A33DA" w:rsidP="009A33DA">
      <w:pPr>
        <w:pStyle w:val="Prrafodelista"/>
        <w:numPr>
          <w:ilvl w:val="0"/>
          <w:numId w:val="0"/>
        </w:numPr>
        <w:ind w:left="1004"/>
      </w:pPr>
    </w:p>
    <w:p w14:paraId="296EA41B" w14:textId="4848EAB7" w:rsidR="00A3732E" w:rsidRDefault="00FF10D3" w:rsidP="00FF10D3">
      <w:pPr>
        <w:pStyle w:val="Prrafodelista"/>
        <w:numPr>
          <w:ilvl w:val="0"/>
          <w:numId w:val="20"/>
        </w:numPr>
      </w:pPr>
      <w:r>
        <w:t xml:space="preserve">La existencia de un “grupo económico” será apreciada por COPRODEC </w:t>
      </w:r>
      <w:r w:rsidR="00A95C3B">
        <w:t>con independencia de la forma jurídica adoptada</w:t>
      </w:r>
      <w:r w:rsidR="00F77C25">
        <w:t>-</w:t>
      </w:r>
      <w:r w:rsidR="00A95C3B">
        <w:t xml:space="preserve"> estructura societaria utilizada</w:t>
      </w:r>
      <w:r w:rsidR="00F77C25">
        <w:t xml:space="preserve"> u otra que aplique-,</w:t>
      </w:r>
      <w:r w:rsidR="00A95C3B">
        <w:t xml:space="preserve"> o de que las entidades desarrollen o no actividades en el mismo mercado, atendiendo a la realidad económica y a las relaciones de hecho existentes entre ellas. </w:t>
      </w:r>
      <w:r w:rsidR="00A3732E">
        <w:t xml:space="preserve"> </w:t>
      </w:r>
    </w:p>
    <w:p w14:paraId="489F76AA" w14:textId="77777777" w:rsidR="000B5B23" w:rsidRDefault="000B5B23" w:rsidP="00B67005">
      <w:pPr>
        <w:ind w:left="284"/>
        <w:jc w:val="both"/>
        <w:rPr>
          <w:rFonts w:ascii="Arial" w:hAnsi="Arial" w:cs="Arial"/>
          <w:b/>
          <w:bCs/>
          <w:color w:val="1F497D" w:themeColor="text2"/>
          <w:sz w:val="24"/>
          <w:szCs w:val="24"/>
        </w:rPr>
      </w:pPr>
    </w:p>
    <w:p w14:paraId="03098B91" w14:textId="16AB8095" w:rsidR="00B67005" w:rsidRPr="000B2C58" w:rsidRDefault="00B67005" w:rsidP="001C6447">
      <w:pPr>
        <w:pStyle w:val="Ttulo1"/>
      </w:pPr>
      <w:bookmarkStart w:id="7" w:name="_Toc220936994"/>
      <w:r>
        <w:t xml:space="preserve">UMBRALES DE </w:t>
      </w:r>
      <w:r w:rsidR="002035F1">
        <w:t>FACTURACIÓN</w:t>
      </w:r>
      <w:bookmarkEnd w:id="7"/>
    </w:p>
    <w:p w14:paraId="203BE151" w14:textId="77777777" w:rsidR="00B67005" w:rsidRPr="003D4C8C" w:rsidRDefault="00B67005" w:rsidP="00596EA9">
      <w:pPr>
        <w:pStyle w:val="Prrafodelista"/>
        <w:numPr>
          <w:ilvl w:val="0"/>
          <w:numId w:val="0"/>
        </w:numPr>
        <w:spacing w:line="240" w:lineRule="auto"/>
        <w:ind w:left="644"/>
      </w:pPr>
    </w:p>
    <w:p w14:paraId="295B4B1D" w14:textId="538E2B18" w:rsidR="00FC4A15" w:rsidRPr="00D4780E" w:rsidRDefault="00857771">
      <w:pPr>
        <w:pStyle w:val="Prrafodelista"/>
        <w:numPr>
          <w:ilvl w:val="0"/>
          <w:numId w:val="20"/>
        </w:numPr>
        <w:shd w:val="clear" w:color="auto" w:fill="FFFFFF"/>
        <w:spacing w:after="150"/>
        <w:ind w:left="644"/>
        <w:rPr>
          <w:color w:val="333333"/>
        </w:rPr>
      </w:pPr>
      <w:r>
        <w:lastRenderedPageBreak/>
        <w:t xml:space="preserve">Como se señaló precedentemente, una vez constatado el cambio de control de las empresas partícipes y verificado que no resulta aplicable ninguna de las excepciones legalmente previstas que excluyan la aplicación del régimen de control de concentraciones ante la COPRODEC, corresponde a las partes determinar si se superan los umbrales de facturación previstos en la LDC. </w:t>
      </w:r>
    </w:p>
    <w:p w14:paraId="16625A44" w14:textId="77777777" w:rsidR="008537E0" w:rsidRPr="00D4780E" w:rsidRDefault="008537E0" w:rsidP="00D4780E">
      <w:pPr>
        <w:pStyle w:val="Prrafodelista"/>
        <w:numPr>
          <w:ilvl w:val="0"/>
          <w:numId w:val="0"/>
        </w:numPr>
        <w:shd w:val="clear" w:color="auto" w:fill="FFFFFF"/>
        <w:spacing w:after="150"/>
        <w:ind w:left="644"/>
        <w:rPr>
          <w:color w:val="333333"/>
        </w:rPr>
      </w:pPr>
    </w:p>
    <w:p w14:paraId="29EAE580" w14:textId="510B3033" w:rsidR="0093362E" w:rsidRPr="00D4780E" w:rsidRDefault="000B7641">
      <w:pPr>
        <w:pStyle w:val="Prrafodelista"/>
        <w:numPr>
          <w:ilvl w:val="0"/>
          <w:numId w:val="20"/>
        </w:numPr>
        <w:shd w:val="clear" w:color="auto" w:fill="FFFFFF"/>
        <w:spacing w:after="150"/>
        <w:ind w:left="644"/>
        <w:rPr>
          <w:color w:val="333333"/>
        </w:rPr>
      </w:pPr>
      <w:r>
        <w:t>La determinación de los umbrales de facturación</w:t>
      </w:r>
      <w:r w:rsidR="000363B0">
        <w:t xml:space="preserve"> resulta especialmente relevante, en la medida en que de ella depende el trámite que debe seguirse ante la COPRODEC, esto es, si corresponde </w:t>
      </w:r>
      <w:r w:rsidR="00A77AC7">
        <w:t xml:space="preserve">solicitar </w:t>
      </w:r>
      <w:r w:rsidR="00424EC1">
        <w:t xml:space="preserve">la </w:t>
      </w:r>
      <w:r w:rsidR="00A77AC7">
        <w:t xml:space="preserve">autorización </w:t>
      </w:r>
      <w:r w:rsidR="00424EC1">
        <w:t xml:space="preserve">de la operación </w:t>
      </w:r>
      <w:r w:rsidR="00A77AC7">
        <w:t xml:space="preserve">o </w:t>
      </w:r>
      <w:r w:rsidR="001B45D3">
        <w:t>simplemente informar</w:t>
      </w:r>
      <w:r w:rsidR="00424EC1">
        <w:t xml:space="preserve">la </w:t>
      </w:r>
      <w:r w:rsidR="001B45D3">
        <w:t xml:space="preserve">a COPRODEC. </w:t>
      </w:r>
    </w:p>
    <w:p w14:paraId="260C2694" w14:textId="77777777" w:rsidR="004E2221" w:rsidRPr="00D4780E" w:rsidRDefault="004E2221" w:rsidP="00D4780E">
      <w:pPr>
        <w:pStyle w:val="Prrafodelista"/>
        <w:numPr>
          <w:ilvl w:val="0"/>
          <w:numId w:val="0"/>
        </w:numPr>
        <w:ind w:left="644"/>
        <w:rPr>
          <w:color w:val="333333"/>
        </w:rPr>
      </w:pPr>
    </w:p>
    <w:p w14:paraId="3A515820" w14:textId="0B93BCE3" w:rsidR="009819EB" w:rsidRPr="005B11A3" w:rsidRDefault="004E2221" w:rsidP="005B11A3">
      <w:pPr>
        <w:spacing w:line="360" w:lineRule="auto"/>
        <w:ind w:left="284"/>
        <w:jc w:val="both"/>
        <w:rPr>
          <w:rFonts w:ascii="Arial" w:hAnsi="Arial" w:cs="Arial"/>
          <w:b/>
          <w:bCs/>
          <w:color w:val="1F497D" w:themeColor="text2"/>
          <w:sz w:val="24"/>
          <w:szCs w:val="24"/>
        </w:rPr>
      </w:pPr>
      <w:r w:rsidRPr="00AF0664">
        <w:rPr>
          <w:rFonts w:ascii="Arial" w:hAnsi="Arial" w:cs="Arial"/>
          <w:b/>
          <w:bCs/>
          <w:color w:val="1F497D" w:themeColor="text2"/>
          <w:sz w:val="24"/>
          <w:szCs w:val="24"/>
        </w:rPr>
        <w:t>Situación en que se cumple</w:t>
      </w:r>
      <w:r w:rsidR="00A315B7" w:rsidRPr="00AF0664">
        <w:rPr>
          <w:rFonts w:ascii="Arial" w:hAnsi="Arial" w:cs="Arial"/>
          <w:b/>
          <w:bCs/>
          <w:color w:val="1F497D" w:themeColor="text2"/>
          <w:sz w:val="24"/>
          <w:szCs w:val="24"/>
        </w:rPr>
        <w:t>n ambos umbrales de facturación: corresponde solicitar autorización ante COPRODEC para la operación de concentración</w:t>
      </w:r>
      <w:r w:rsidR="00AF0664">
        <w:rPr>
          <w:rStyle w:val="Refdenotaalpie"/>
          <w:rFonts w:ascii="Arial" w:hAnsi="Arial" w:cs="Arial"/>
          <w:b/>
          <w:bCs/>
          <w:color w:val="1F497D" w:themeColor="text2"/>
          <w:sz w:val="24"/>
          <w:szCs w:val="24"/>
        </w:rPr>
        <w:footnoteReference w:id="21"/>
      </w:r>
    </w:p>
    <w:p w14:paraId="14D3402E" w14:textId="4C7094CB" w:rsidR="007E523C" w:rsidRPr="00D4780E" w:rsidRDefault="002003EA" w:rsidP="001C41E4">
      <w:pPr>
        <w:pStyle w:val="Prrafodelista"/>
        <w:numPr>
          <w:ilvl w:val="0"/>
          <w:numId w:val="20"/>
        </w:numPr>
        <w:shd w:val="clear" w:color="auto" w:fill="FFFFFF"/>
        <w:spacing w:after="150"/>
        <w:ind w:left="644"/>
        <w:rPr>
          <w:i/>
          <w:iCs/>
          <w:color w:val="333333"/>
        </w:rPr>
      </w:pPr>
      <w:r>
        <w:rPr>
          <w:color w:val="333333"/>
        </w:rPr>
        <w:t>El</w:t>
      </w:r>
      <w:r w:rsidR="00FC4A15">
        <w:t xml:space="preserve"> artículo 7 establece </w:t>
      </w:r>
      <w:r w:rsidR="00642202">
        <w:t xml:space="preserve">la obligación de </w:t>
      </w:r>
      <w:r w:rsidR="00642202" w:rsidRPr="00D4780E">
        <w:rPr>
          <w:b/>
          <w:bCs/>
          <w:u w:val="single"/>
        </w:rPr>
        <w:t>solicitar autorización previa</w:t>
      </w:r>
      <w:r w:rsidR="00A40512" w:rsidRPr="00D4780E">
        <w:rPr>
          <w:b/>
          <w:bCs/>
          <w:u w:val="single"/>
        </w:rPr>
        <w:t xml:space="preserve"> al acto de concentración</w:t>
      </w:r>
      <w:r w:rsidR="00A40512">
        <w:t>, cuando en cualquiera de los últimos tres ejercicios contables se configuren acumulativamente los umbrales previstos en los numerales 1) y 2) del artículo 7 de la LDC</w:t>
      </w:r>
      <w:r w:rsidR="007E523C">
        <w:t>:</w:t>
      </w:r>
    </w:p>
    <w:p w14:paraId="0751D7AA" w14:textId="77777777" w:rsidR="007E523C" w:rsidRDefault="007E523C" w:rsidP="00D4780E">
      <w:pPr>
        <w:pStyle w:val="Prrafodelista"/>
        <w:numPr>
          <w:ilvl w:val="0"/>
          <w:numId w:val="0"/>
        </w:numPr>
        <w:ind w:left="644"/>
      </w:pPr>
    </w:p>
    <w:p w14:paraId="4E189F52" w14:textId="725A4154" w:rsidR="00414DFF" w:rsidRPr="00BF1000" w:rsidRDefault="007E523C" w:rsidP="00BF1000">
      <w:pPr>
        <w:pStyle w:val="Prrafodelista"/>
        <w:numPr>
          <w:ilvl w:val="0"/>
          <w:numId w:val="41"/>
        </w:numPr>
        <w:shd w:val="clear" w:color="auto" w:fill="FFFFFF"/>
        <w:spacing w:after="150"/>
        <w:rPr>
          <w:i/>
          <w:iCs/>
          <w:color w:val="333333"/>
        </w:rPr>
      </w:pPr>
      <w:r>
        <w:lastRenderedPageBreak/>
        <w:t>Que la facturación anual, libre de impuestos en el territorio uruguayo del conjunto de los participantes de la operación, sea igual o superior a 500.000.000 UI</w:t>
      </w:r>
      <w:r w:rsidR="00CF288D">
        <w:t xml:space="preserve"> </w:t>
      </w:r>
      <w:r w:rsidR="00414DFF">
        <w:t>(quinientas millones de unidades indexadas)</w:t>
      </w:r>
      <w:r w:rsidR="001C2C72">
        <w:t xml:space="preserve"> (“umbral conjunto”)</w:t>
      </w:r>
      <w:r w:rsidR="00BF1000">
        <w:t xml:space="preserve"> </w:t>
      </w:r>
    </w:p>
    <w:p w14:paraId="1E0CC22B" w14:textId="08A68F5F" w:rsidR="00BF1000" w:rsidRPr="00907145" w:rsidRDefault="00BF1000" w:rsidP="00BF1000">
      <w:pPr>
        <w:pStyle w:val="Prrafodelista"/>
        <w:numPr>
          <w:ilvl w:val="0"/>
          <w:numId w:val="41"/>
        </w:numPr>
        <w:shd w:val="clear" w:color="auto" w:fill="FFFFFF"/>
        <w:spacing w:after="150"/>
        <w:rPr>
          <w:i/>
          <w:iCs/>
          <w:color w:val="333333"/>
        </w:rPr>
      </w:pPr>
      <w:r>
        <w:t>Que la facturación anual, libre de impuestos en el territorio uruguayo de dos o más participantes de la operación, considerados individualmente, sea igual o superior a 30.000.000 (treinta millones de unidades indexadas) (“umbral individual”).</w:t>
      </w:r>
    </w:p>
    <w:p w14:paraId="7759D520" w14:textId="77777777" w:rsidR="00907145" w:rsidRPr="00D4780E" w:rsidRDefault="00907145" w:rsidP="00907145">
      <w:pPr>
        <w:pStyle w:val="Prrafodelista"/>
        <w:numPr>
          <w:ilvl w:val="0"/>
          <w:numId w:val="0"/>
        </w:numPr>
        <w:shd w:val="clear" w:color="auto" w:fill="FFFFFF"/>
        <w:spacing w:after="150"/>
        <w:ind w:left="720"/>
        <w:rPr>
          <w:i/>
          <w:iCs/>
          <w:color w:val="333333"/>
        </w:rPr>
      </w:pPr>
    </w:p>
    <w:p w14:paraId="7A95EB72" w14:textId="01FD5C87" w:rsidR="008F226F" w:rsidRPr="005B11A3" w:rsidRDefault="008F226F" w:rsidP="005B11A3">
      <w:pPr>
        <w:pStyle w:val="Prrafodelista"/>
        <w:numPr>
          <w:ilvl w:val="0"/>
          <w:numId w:val="0"/>
        </w:numPr>
        <w:ind w:left="360"/>
        <w:rPr>
          <w:b/>
          <w:bCs/>
        </w:rPr>
      </w:pPr>
      <w:r>
        <w:rPr>
          <w:b/>
          <w:bCs/>
          <w:color w:val="1F497D" w:themeColor="text2"/>
        </w:rPr>
        <w:t xml:space="preserve">Situación en que se cumple el </w:t>
      </w:r>
      <w:r w:rsidR="00615112">
        <w:rPr>
          <w:b/>
          <w:bCs/>
          <w:color w:val="1F497D" w:themeColor="text2"/>
        </w:rPr>
        <w:t>u</w:t>
      </w:r>
      <w:r>
        <w:rPr>
          <w:b/>
          <w:bCs/>
          <w:color w:val="1F497D" w:themeColor="text2"/>
        </w:rPr>
        <w:t xml:space="preserve">mbral </w:t>
      </w:r>
      <w:r w:rsidR="009154EC">
        <w:rPr>
          <w:b/>
          <w:bCs/>
          <w:color w:val="1F497D" w:themeColor="text2"/>
        </w:rPr>
        <w:t>conjunto,</w:t>
      </w:r>
      <w:r>
        <w:rPr>
          <w:b/>
          <w:bCs/>
          <w:color w:val="1F497D" w:themeColor="text2"/>
        </w:rPr>
        <w:t xml:space="preserve"> pero no el umbral individual</w:t>
      </w:r>
      <w:r w:rsidR="002642DE">
        <w:rPr>
          <w:b/>
          <w:bCs/>
          <w:color w:val="1F497D" w:themeColor="text2"/>
        </w:rPr>
        <w:t xml:space="preserve">: corresponde informar </w:t>
      </w:r>
      <w:r w:rsidR="00C77B15">
        <w:rPr>
          <w:b/>
          <w:bCs/>
          <w:color w:val="1F497D" w:themeColor="text2"/>
        </w:rPr>
        <w:t>a COPRODEC la operación</w:t>
      </w:r>
      <w:r w:rsidR="00C77B15">
        <w:rPr>
          <w:rStyle w:val="Refdenotaalpie"/>
          <w:b/>
          <w:bCs/>
          <w:color w:val="1F497D" w:themeColor="text2"/>
        </w:rPr>
        <w:footnoteReference w:id="22"/>
      </w:r>
    </w:p>
    <w:p w14:paraId="7A6727C0" w14:textId="63646917" w:rsidR="00961A49" w:rsidRPr="00D4780E" w:rsidRDefault="008F226F" w:rsidP="00907145">
      <w:pPr>
        <w:pStyle w:val="Prrafodelista"/>
        <w:numPr>
          <w:ilvl w:val="0"/>
          <w:numId w:val="20"/>
        </w:numPr>
        <w:shd w:val="clear" w:color="auto" w:fill="FFFFFF"/>
        <w:spacing w:after="150"/>
      </w:pPr>
      <w:r w:rsidRPr="00907145">
        <w:t>De acuerdo con la</w:t>
      </w:r>
      <w:r w:rsidR="009154EC" w:rsidRPr="00907145">
        <w:t xml:space="preserve"> </w:t>
      </w:r>
      <w:r w:rsidR="00F66840" w:rsidRPr="00907145">
        <w:t>LDC</w:t>
      </w:r>
      <w:r w:rsidRPr="00907145">
        <w:t xml:space="preserve">, cuando la facturación anual libre de impuestos en el territorio uruguayo del conjunto de los participantes en la operación, en cualquiera de los últimos tres ejercicios contables, sea igual o superior a 500.000.000 UI (quinientos millones de unidades indexadas) pero no se alcance en dicho ejercicio el umbral individual de </w:t>
      </w:r>
      <w:r w:rsidRPr="00907145">
        <w:rPr>
          <w:color w:val="333333"/>
        </w:rPr>
        <w:t>30.000.000 UI (treinta millones de unidades indexadas)</w:t>
      </w:r>
      <w:r w:rsidRPr="00907145">
        <w:t>, los participantes del acto de concentración económica deberán informar</w:t>
      </w:r>
      <w:r w:rsidR="00F66840" w:rsidRPr="00907145">
        <w:t xml:space="preserve"> el acto a COPRODEC</w:t>
      </w:r>
      <w:r w:rsidR="00961A49" w:rsidRPr="00907145">
        <w:t>.</w:t>
      </w:r>
    </w:p>
    <w:p w14:paraId="2247FB9F" w14:textId="77777777" w:rsidR="00961A49" w:rsidRDefault="00961A49" w:rsidP="00961A49">
      <w:pPr>
        <w:pStyle w:val="Prrafodelista"/>
        <w:numPr>
          <w:ilvl w:val="0"/>
          <w:numId w:val="0"/>
        </w:numPr>
        <w:shd w:val="clear" w:color="auto" w:fill="FFFFFF"/>
        <w:spacing w:after="150"/>
        <w:ind w:left="644"/>
      </w:pPr>
    </w:p>
    <w:p w14:paraId="64767105" w14:textId="75A38485" w:rsidR="008F226F" w:rsidRPr="001C41E4" w:rsidRDefault="00961A49" w:rsidP="00907145">
      <w:pPr>
        <w:pStyle w:val="Prrafodelista"/>
        <w:numPr>
          <w:ilvl w:val="0"/>
          <w:numId w:val="20"/>
        </w:numPr>
        <w:shd w:val="clear" w:color="auto" w:fill="FFFFFF"/>
        <w:spacing w:after="150"/>
      </w:pPr>
      <w:r>
        <w:lastRenderedPageBreak/>
        <w:t xml:space="preserve">En tal caso, COPRODEC podrá </w:t>
      </w:r>
      <w:r w:rsidR="00F66840" w:rsidRPr="00961A49">
        <w:t xml:space="preserve">determinar por resolución fundada, </w:t>
      </w:r>
      <w:r w:rsidR="008F226F" w:rsidRPr="00961A49">
        <w:t xml:space="preserve">dentro de los quince días hábiles siguientes a recibir la información, que el </w:t>
      </w:r>
      <w:r>
        <w:t xml:space="preserve">acto quedará </w:t>
      </w:r>
      <w:r w:rsidR="008F226F" w:rsidRPr="00961A49">
        <w:t>sujeto a la solicitud de autorización</w:t>
      </w:r>
      <w:r w:rsidR="00F66840" w:rsidRPr="00961A49">
        <w:t xml:space="preserve"> o que ésta o es exigible. </w:t>
      </w:r>
    </w:p>
    <w:p w14:paraId="25EB9A81" w14:textId="77777777" w:rsidR="00F66840" w:rsidRDefault="00F66840" w:rsidP="00F66840">
      <w:pPr>
        <w:pStyle w:val="Prrafodelista"/>
        <w:numPr>
          <w:ilvl w:val="0"/>
          <w:numId w:val="0"/>
        </w:numPr>
        <w:shd w:val="clear" w:color="auto" w:fill="FFFFFF"/>
        <w:spacing w:after="150"/>
        <w:ind w:left="644"/>
        <w:rPr>
          <w:lang w:val="es-ES"/>
        </w:rPr>
      </w:pPr>
    </w:p>
    <w:p w14:paraId="7C7EF630" w14:textId="260C78A5" w:rsidR="00F66840" w:rsidRDefault="00F66840" w:rsidP="00AF0664">
      <w:pPr>
        <w:pStyle w:val="Prrafodelista"/>
        <w:numPr>
          <w:ilvl w:val="0"/>
          <w:numId w:val="0"/>
        </w:numPr>
        <w:shd w:val="clear" w:color="auto" w:fill="FFFFFF"/>
        <w:spacing w:after="150"/>
        <w:ind w:left="360"/>
        <w:rPr>
          <w:b/>
          <w:bCs/>
          <w:color w:val="1F497D" w:themeColor="text2"/>
          <w:lang w:val="es-ES"/>
        </w:rPr>
      </w:pPr>
      <w:r>
        <w:rPr>
          <w:b/>
          <w:bCs/>
          <w:color w:val="1F497D" w:themeColor="text2"/>
          <w:lang w:val="es-ES"/>
        </w:rPr>
        <w:t>Pautas</w:t>
      </w:r>
      <w:r w:rsidRPr="001C41E4">
        <w:rPr>
          <w:b/>
          <w:bCs/>
          <w:color w:val="1F497D" w:themeColor="text2"/>
          <w:lang w:val="es-ES"/>
        </w:rPr>
        <w:t xml:space="preserve"> para el cálculo de los umbrales de facturación</w:t>
      </w:r>
    </w:p>
    <w:p w14:paraId="4762563E" w14:textId="37FCB79B" w:rsidR="006F05B8" w:rsidRPr="001C41E4" w:rsidRDefault="006F05B8" w:rsidP="00907145">
      <w:pPr>
        <w:pStyle w:val="Prrafodelista"/>
        <w:numPr>
          <w:ilvl w:val="0"/>
          <w:numId w:val="20"/>
        </w:numPr>
        <w:shd w:val="clear" w:color="auto" w:fill="FFFFFF"/>
        <w:spacing w:after="150"/>
      </w:pPr>
      <w:r w:rsidRPr="001C41E4">
        <w:rPr>
          <w:lang w:val="es-ES"/>
        </w:rPr>
        <w:t>En particular</w:t>
      </w:r>
      <w:r>
        <w:rPr>
          <w:lang w:val="es-ES"/>
        </w:rPr>
        <w:t xml:space="preserve"> a los efectos del cálculo de los umbrales de facturación los participantes deberán considerar:</w:t>
      </w:r>
    </w:p>
    <w:p w14:paraId="0F5EE63E" w14:textId="1EF639BB" w:rsidR="0037673E" w:rsidRDefault="0037673E" w:rsidP="0037673E">
      <w:pPr>
        <w:pStyle w:val="Prrafodelista"/>
        <w:numPr>
          <w:ilvl w:val="0"/>
          <w:numId w:val="34"/>
        </w:numPr>
        <w:shd w:val="clear" w:color="auto" w:fill="FFFFFF"/>
        <w:spacing w:after="150"/>
      </w:pPr>
      <w:r>
        <w:t>Que el análisis de los umbrales de facturación debe realizarse a nivel de grupo económico, y no de entidades jurídicas individuales</w:t>
      </w:r>
      <w:r w:rsidR="00C936FC">
        <w:rPr>
          <w:rStyle w:val="Refdenotaalpie"/>
        </w:rPr>
        <w:footnoteReference w:id="23"/>
      </w:r>
      <w:r>
        <w:t>. En consecuencia, debe considerarse la facturación de todo el grupo empresarial al que pertenecen las partes, y no únicamente la de las entidades directamente involucradas en la operación;</w:t>
      </w:r>
    </w:p>
    <w:p w14:paraId="2DDD2DD2" w14:textId="4723BFE5" w:rsidR="00F131F1" w:rsidRPr="005C302F" w:rsidRDefault="00F131F1" w:rsidP="00F131F1">
      <w:pPr>
        <w:pStyle w:val="Prrafodelista"/>
        <w:numPr>
          <w:ilvl w:val="0"/>
          <w:numId w:val="34"/>
        </w:numPr>
        <w:shd w:val="clear" w:color="auto" w:fill="FFFFFF"/>
        <w:spacing w:after="150"/>
      </w:pPr>
      <w:r>
        <w:t>Que para determinar si una concentración supera los umbrales, se debe revisar la facturación de los últimos tres ejercicios contables cerrados hasta la fecha de la operación</w:t>
      </w:r>
      <w:r w:rsidR="0017472C">
        <w:t>, es decir,</w:t>
      </w:r>
      <w:r>
        <w:t xml:space="preserve"> basta con que en cualquiera de esos años se supere el umbral;</w:t>
      </w:r>
    </w:p>
    <w:p w14:paraId="381CFC01" w14:textId="23F04E77" w:rsidR="006F05B8" w:rsidRDefault="0037673E" w:rsidP="0037673E">
      <w:pPr>
        <w:pStyle w:val="Prrafodelista"/>
        <w:numPr>
          <w:ilvl w:val="0"/>
          <w:numId w:val="34"/>
        </w:numPr>
        <w:shd w:val="clear" w:color="auto" w:fill="FFFFFF"/>
        <w:spacing w:after="150"/>
      </w:pPr>
      <w:r>
        <w:lastRenderedPageBreak/>
        <w:t>Que corresponde computar la facturación intragrupo, no pudiendo descontarla en ningún caso;</w:t>
      </w:r>
    </w:p>
    <w:p w14:paraId="515E89A7" w14:textId="4B24451A" w:rsidR="0037673E" w:rsidRDefault="0037673E" w:rsidP="0037673E">
      <w:pPr>
        <w:pStyle w:val="Prrafodelista"/>
        <w:numPr>
          <w:ilvl w:val="0"/>
          <w:numId w:val="34"/>
        </w:numPr>
        <w:shd w:val="clear" w:color="auto" w:fill="FFFFFF"/>
        <w:spacing w:after="150"/>
      </w:pPr>
      <w:r>
        <w:t xml:space="preserve">Que </w:t>
      </w:r>
      <w:r w:rsidR="00357E69">
        <w:t xml:space="preserve">por </w:t>
      </w:r>
      <w:r w:rsidRPr="001C41E4">
        <w:rPr>
          <w:i/>
          <w:iCs/>
        </w:rPr>
        <w:t>“facturación en territorio uruguayo”</w:t>
      </w:r>
      <w:r>
        <w:t xml:space="preserve"> se entenderá: i) la facturación derivada de actividades realizadas en Uruguay, con independencia de que el destino de los bienes o servicios sea el mercado local o extranjero</w:t>
      </w:r>
      <w:r>
        <w:rPr>
          <w:rStyle w:val="Refdenotaalpie"/>
        </w:rPr>
        <w:footnoteReference w:id="24"/>
      </w:r>
      <w:r>
        <w:t>; ii) la facturación obtenida por la venta de bienes o la prestación de servicios destinados al mercado uruguayo, con independencia de que la entidad que los comercializa se encuentre establecida fuera del país</w:t>
      </w:r>
      <w:r w:rsidR="00604495">
        <w:t>;</w:t>
      </w:r>
    </w:p>
    <w:p w14:paraId="6ECAB39D" w14:textId="5502091B" w:rsidR="00604495" w:rsidRDefault="00604495" w:rsidP="0037673E">
      <w:pPr>
        <w:pStyle w:val="Prrafodelista"/>
        <w:numPr>
          <w:ilvl w:val="0"/>
          <w:numId w:val="34"/>
        </w:numPr>
        <w:shd w:val="clear" w:color="auto" w:fill="FFFFFF"/>
        <w:spacing w:after="150"/>
      </w:pPr>
      <w:r>
        <w:t>Que</w:t>
      </w:r>
      <w:r w:rsidR="00176F61">
        <w:t>,</w:t>
      </w:r>
      <w:r>
        <w:t xml:space="preserve"> en consecuencia</w:t>
      </w:r>
      <w:r w:rsidR="00176F61">
        <w:t>,</w:t>
      </w:r>
      <w:r>
        <w:t xml:space="preserve"> corresponde computar también las ventas desde Uruguay hacia la Zona Franca, dado que se trata de exportaciones; </w:t>
      </w:r>
    </w:p>
    <w:p w14:paraId="765897D9" w14:textId="4F808E07" w:rsidR="00604495" w:rsidRDefault="00F131F1" w:rsidP="0037673E">
      <w:pPr>
        <w:pStyle w:val="Prrafodelista"/>
        <w:numPr>
          <w:ilvl w:val="0"/>
          <w:numId w:val="34"/>
        </w:numPr>
        <w:shd w:val="clear" w:color="auto" w:fill="FFFFFF"/>
        <w:spacing w:after="150"/>
      </w:pPr>
      <w:r>
        <w:t>Que e</w:t>
      </w:r>
      <w:r w:rsidR="00604495">
        <w:t>n el cálculo de los umbrales se debe considerar el valor de la UI correspondiente al día hábil anterior a la fecha de solicitud de la autorización;</w:t>
      </w:r>
    </w:p>
    <w:p w14:paraId="6BD498BE" w14:textId="738ACFD6" w:rsidR="00176F61" w:rsidRDefault="00176F61" w:rsidP="00176F61">
      <w:pPr>
        <w:pStyle w:val="Prrafodelista"/>
        <w:numPr>
          <w:ilvl w:val="0"/>
          <w:numId w:val="34"/>
        </w:numPr>
        <w:shd w:val="clear" w:color="auto" w:fill="FFFFFF"/>
        <w:spacing w:after="150"/>
      </w:pPr>
      <w:r>
        <w:t>Que, deben descontarse</w:t>
      </w:r>
      <w:r w:rsidRPr="00CA303B">
        <w:t xml:space="preserve"> las ventas que no correspondan a actividades ordinarias de las empresas, esto es, aquellas que no provienen del normal desarrollo de la actividad comercial que habitualmente desempeña</w:t>
      </w:r>
      <w:r>
        <w:t>n</w:t>
      </w:r>
      <w:r w:rsidRPr="00CA303B">
        <w:t xml:space="preserve"> </w:t>
      </w:r>
      <w:r>
        <w:t>l</w:t>
      </w:r>
      <w:r w:rsidRPr="00CA303B">
        <w:t>os agentes</w:t>
      </w:r>
      <w:r>
        <w:t xml:space="preserve"> económicos</w:t>
      </w:r>
      <w:r w:rsidR="006459B7">
        <w:t xml:space="preserve">. </w:t>
      </w:r>
    </w:p>
    <w:p w14:paraId="2EDAA95B" w14:textId="77777777" w:rsidR="007260DF" w:rsidRDefault="007260DF" w:rsidP="007260DF">
      <w:pPr>
        <w:pStyle w:val="Prrafodelista"/>
        <w:numPr>
          <w:ilvl w:val="0"/>
          <w:numId w:val="0"/>
        </w:numPr>
        <w:shd w:val="clear" w:color="auto" w:fill="FFFFFF"/>
        <w:spacing w:after="150"/>
        <w:ind w:left="644"/>
      </w:pPr>
    </w:p>
    <w:p w14:paraId="159FC80D" w14:textId="39FAB0D1" w:rsidR="0063045A" w:rsidRDefault="00785A15" w:rsidP="00AF0664">
      <w:pPr>
        <w:pStyle w:val="Prrafodelista"/>
        <w:numPr>
          <w:ilvl w:val="0"/>
          <w:numId w:val="0"/>
        </w:numPr>
        <w:ind w:left="360"/>
        <w:rPr>
          <w:b/>
          <w:bCs/>
          <w:color w:val="1F497D" w:themeColor="text2"/>
        </w:rPr>
      </w:pPr>
      <w:r>
        <w:rPr>
          <w:b/>
          <w:bCs/>
          <w:color w:val="1F497D" w:themeColor="text2"/>
        </w:rPr>
        <w:t>Cómputo de umbrales de facturación para fideicomisos</w:t>
      </w:r>
    </w:p>
    <w:p w14:paraId="20C36E37" w14:textId="1CF72CAC" w:rsidR="00785A15" w:rsidRPr="001C41E4" w:rsidRDefault="000037C9" w:rsidP="00907145">
      <w:pPr>
        <w:pStyle w:val="Prrafodelista"/>
        <w:numPr>
          <w:ilvl w:val="0"/>
          <w:numId w:val="20"/>
        </w:numPr>
        <w:rPr>
          <w:b/>
          <w:bCs/>
        </w:rPr>
      </w:pPr>
      <w:r>
        <w:lastRenderedPageBreak/>
        <w:t xml:space="preserve">A efectos del cálculo de los umbrales de facturación, cuando un fideicomiso interviene en la operación, </w:t>
      </w:r>
      <w:r w:rsidR="00417003">
        <w:t>en primer lugar, corresponde computar la facturación del propio vehículo, esto es, la facturación generada por las empresas que integran su portafolio</w:t>
      </w:r>
      <w:r w:rsidR="007437B7">
        <w:rPr>
          <w:rStyle w:val="Refdenotaalpie"/>
        </w:rPr>
        <w:footnoteReference w:id="25"/>
      </w:r>
      <w:r w:rsidR="00417003">
        <w:t>.</w:t>
      </w:r>
    </w:p>
    <w:p w14:paraId="17AF7F55" w14:textId="77777777" w:rsidR="00417003" w:rsidRPr="001C41E4" w:rsidRDefault="00417003" w:rsidP="001C41E4">
      <w:pPr>
        <w:pStyle w:val="Prrafodelista"/>
        <w:numPr>
          <w:ilvl w:val="0"/>
          <w:numId w:val="0"/>
        </w:numPr>
        <w:ind w:left="720"/>
        <w:rPr>
          <w:b/>
          <w:bCs/>
        </w:rPr>
      </w:pPr>
    </w:p>
    <w:p w14:paraId="24224E58" w14:textId="22A46098" w:rsidR="00417003" w:rsidRPr="001C41E4" w:rsidRDefault="00DD2A0B" w:rsidP="00907145">
      <w:pPr>
        <w:pStyle w:val="Prrafodelista"/>
        <w:numPr>
          <w:ilvl w:val="0"/>
          <w:numId w:val="20"/>
        </w:numPr>
        <w:rPr>
          <w:b/>
          <w:bCs/>
        </w:rPr>
      </w:pPr>
      <w:r>
        <w:t xml:space="preserve">En segundo lugar, corresponde identificar </w:t>
      </w:r>
      <w:r w:rsidR="00183AC2">
        <w:t>quién ejerce el control</w:t>
      </w:r>
      <w:r w:rsidR="00A725B4">
        <w:rPr>
          <w:rStyle w:val="Refdenotaalpie"/>
        </w:rPr>
        <w:footnoteReference w:id="26"/>
      </w:r>
      <w:r w:rsidR="00183AC2">
        <w:t xml:space="preserve"> del fideicomiso financiero, dado que la facturación del controlante, así como la de las entidades bajo su control, debe considerarse a efectos del cálculo de los umbrales</w:t>
      </w:r>
      <w:r w:rsidR="00183AC2">
        <w:rPr>
          <w:rStyle w:val="Refdenotaalpie"/>
        </w:rPr>
        <w:footnoteReference w:id="27"/>
      </w:r>
      <w:r w:rsidR="00183AC2">
        <w:t>.</w:t>
      </w:r>
      <w:r w:rsidR="00F136EB">
        <w:t xml:space="preserve"> </w:t>
      </w:r>
    </w:p>
    <w:p w14:paraId="008C1DBD" w14:textId="77777777" w:rsidR="004F54FA" w:rsidRPr="001C41E4" w:rsidRDefault="004F54FA" w:rsidP="001C41E4">
      <w:pPr>
        <w:pStyle w:val="Prrafodelista"/>
        <w:numPr>
          <w:ilvl w:val="0"/>
          <w:numId w:val="0"/>
        </w:numPr>
        <w:ind w:left="644"/>
        <w:rPr>
          <w:b/>
          <w:bCs/>
        </w:rPr>
      </w:pPr>
    </w:p>
    <w:p w14:paraId="5AAED772" w14:textId="6240386A" w:rsidR="004F54FA" w:rsidRPr="001C41E4" w:rsidRDefault="005652AF" w:rsidP="00907145">
      <w:pPr>
        <w:pStyle w:val="Prrafodelista"/>
        <w:numPr>
          <w:ilvl w:val="0"/>
          <w:numId w:val="20"/>
        </w:numPr>
        <w:rPr>
          <w:b/>
          <w:bCs/>
        </w:rPr>
      </w:pPr>
      <w:r>
        <w:t xml:space="preserve">En los fideicomisos financieros, la experiencia de COPRODEC </w:t>
      </w:r>
      <w:r w:rsidR="00085CD6">
        <w:t>y comparada, demuestra que el control puede recaer en diversas figuras de las que estructuran este vehículo de inversión.</w:t>
      </w:r>
    </w:p>
    <w:p w14:paraId="093CF34D" w14:textId="77777777" w:rsidR="00085CD6" w:rsidRPr="001C41E4" w:rsidRDefault="00085CD6" w:rsidP="001C41E4">
      <w:pPr>
        <w:pStyle w:val="Prrafodelista"/>
        <w:numPr>
          <w:ilvl w:val="0"/>
          <w:numId w:val="0"/>
        </w:numPr>
        <w:ind w:left="644"/>
        <w:rPr>
          <w:b/>
          <w:bCs/>
        </w:rPr>
      </w:pPr>
    </w:p>
    <w:p w14:paraId="12B2157C" w14:textId="77777777" w:rsidR="00C449BA" w:rsidRPr="001C41E4" w:rsidRDefault="00085CD6" w:rsidP="00907145">
      <w:pPr>
        <w:pStyle w:val="Prrafodelista"/>
        <w:numPr>
          <w:ilvl w:val="0"/>
          <w:numId w:val="20"/>
        </w:numPr>
        <w:rPr>
          <w:b/>
          <w:bCs/>
        </w:rPr>
      </w:pPr>
      <w:r>
        <w:t xml:space="preserve"> Por un lado, se encuentra el </w:t>
      </w:r>
      <w:r w:rsidRPr="001C41E4">
        <w:rPr>
          <w:i/>
          <w:iCs/>
          <w:u w:val="single"/>
        </w:rPr>
        <w:t>fiduciario,</w:t>
      </w:r>
      <w:r>
        <w:t xml:space="preserve"> quien actúa </w:t>
      </w:r>
      <w:r w:rsidR="000B2DCA">
        <w:t xml:space="preserve">como administrador del fideicomiso. Por otro, pueden intervenir entidades terceras con las que el fiduciario celebra contratos vinculados a la gestión de la cartera de inversiones, tales como el </w:t>
      </w:r>
      <w:r w:rsidR="000B2DCA" w:rsidRPr="001C41E4">
        <w:rPr>
          <w:i/>
          <w:iCs/>
          <w:u w:val="single"/>
        </w:rPr>
        <w:t>operador</w:t>
      </w:r>
      <w:r w:rsidR="000B2DCA">
        <w:t xml:space="preserve"> o también llamado </w:t>
      </w:r>
      <w:r w:rsidR="000B2DCA" w:rsidRPr="001C41E4">
        <w:rPr>
          <w:i/>
          <w:iCs/>
          <w:u w:val="single"/>
        </w:rPr>
        <w:t>gestor</w:t>
      </w:r>
      <w:r w:rsidR="00AD059C">
        <w:t xml:space="preserve">. Finalmente, se encuentran los </w:t>
      </w:r>
      <w:r w:rsidR="00AD059C" w:rsidRPr="001C41E4">
        <w:rPr>
          <w:i/>
          <w:iCs/>
          <w:u w:val="single"/>
        </w:rPr>
        <w:t>aportantes del fondo,</w:t>
      </w:r>
      <w:r w:rsidR="00AD059C">
        <w:t xml:space="preserve"> </w:t>
      </w:r>
      <w:r w:rsidR="000B6F5A">
        <w:t xml:space="preserve">quienes pueden coincidir </w:t>
      </w:r>
      <w:r w:rsidR="00342938">
        <w:t xml:space="preserve">o no con los </w:t>
      </w:r>
      <w:r w:rsidR="00342938" w:rsidRPr="001C41E4">
        <w:rPr>
          <w:i/>
          <w:iCs/>
          <w:u w:val="single"/>
        </w:rPr>
        <w:t>beneficiarios.</w:t>
      </w:r>
      <w:r w:rsidR="00C449BA">
        <w:t xml:space="preserve"> Es </w:t>
      </w:r>
      <w:r w:rsidR="00C449BA">
        <w:lastRenderedPageBreak/>
        <w:t>posible que el control del fideicomiso recaiga sobre cualquiera de ellos. Véase:</w:t>
      </w:r>
    </w:p>
    <w:p w14:paraId="54EEF24A" w14:textId="618740CA" w:rsidR="00C449BA" w:rsidRDefault="00C449BA" w:rsidP="00C449BA">
      <w:pPr>
        <w:pStyle w:val="Prrafodelista"/>
        <w:numPr>
          <w:ilvl w:val="0"/>
          <w:numId w:val="0"/>
        </w:numPr>
        <w:ind w:left="644"/>
      </w:pPr>
    </w:p>
    <w:p w14:paraId="3E7A8FAC" w14:textId="0862F62A" w:rsidR="00C449BA" w:rsidRDefault="00C449BA" w:rsidP="001C41E4">
      <w:pPr>
        <w:pStyle w:val="Prrafodelista"/>
        <w:numPr>
          <w:ilvl w:val="0"/>
          <w:numId w:val="0"/>
        </w:numPr>
        <w:ind w:left="644"/>
      </w:pPr>
      <w:r>
        <w:rPr>
          <w:rFonts w:ascii="Times New Roman" w:hAnsi="Times New Roman" w:cs="Times New Roman"/>
          <w:noProof/>
        </w:rPr>
        <w:drawing>
          <wp:inline distT="0" distB="0" distL="0" distR="0" wp14:anchorId="578A65A6" wp14:editId="371AA848">
            <wp:extent cx="4975860" cy="2650282"/>
            <wp:effectExtent l="0" t="0" r="0" b="0"/>
            <wp:docPr id="2" name="Imagen 2"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Diagrama&#10;&#10;El contenido generado por IA puede ser incorrec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5743" cy="2655546"/>
                    </a:xfrm>
                    <a:prstGeom prst="rect">
                      <a:avLst/>
                    </a:prstGeom>
                    <a:noFill/>
                    <a:ln>
                      <a:noFill/>
                    </a:ln>
                  </pic:spPr>
                </pic:pic>
              </a:graphicData>
            </a:graphic>
          </wp:inline>
        </w:drawing>
      </w:r>
    </w:p>
    <w:p w14:paraId="259611FE" w14:textId="47C95AED" w:rsidR="00085CD6" w:rsidRPr="00596EA9" w:rsidRDefault="00AD059C" w:rsidP="001C41E4">
      <w:pPr>
        <w:pStyle w:val="Prrafodelista"/>
        <w:numPr>
          <w:ilvl w:val="0"/>
          <w:numId w:val="0"/>
        </w:numPr>
        <w:ind w:left="720"/>
        <w:rPr>
          <w:b/>
          <w:bCs/>
        </w:rPr>
      </w:pPr>
      <w:r>
        <w:t xml:space="preserve"> </w:t>
      </w:r>
    </w:p>
    <w:p w14:paraId="2DCA52D8" w14:textId="39995896" w:rsidR="0063045A" w:rsidRDefault="00C449BA" w:rsidP="00907145">
      <w:pPr>
        <w:pStyle w:val="Prrafodelista"/>
        <w:numPr>
          <w:ilvl w:val="0"/>
          <w:numId w:val="20"/>
        </w:numPr>
        <w:shd w:val="clear" w:color="auto" w:fill="FFFFFF"/>
        <w:spacing w:after="150"/>
      </w:pPr>
      <w:r w:rsidRPr="001C41E4">
        <w:rPr>
          <w:b/>
          <w:bCs/>
          <w:u w:val="single"/>
        </w:rPr>
        <w:t>Control “de derecho” del fideicomiso</w:t>
      </w:r>
      <w:r w:rsidR="004B2B8B">
        <w:rPr>
          <w:b/>
          <w:bCs/>
          <w:u w:val="single"/>
        </w:rPr>
        <w:t>.</w:t>
      </w:r>
      <w:r>
        <w:t xml:space="preserve"> Para identificar quién ejerce el control “de derecho”, debe revisarse la documentación que instrumenta el negocio de fideicomiso, tales como el contrato de fideicomiso, el reglamento interno, certificados de participación u otros instrumentos aplicables. De allí, ha de surgir quien planea y ejecuta el plan de negocios, decide inversiones, etc.</w:t>
      </w:r>
    </w:p>
    <w:p w14:paraId="76A60C5B" w14:textId="77777777" w:rsidR="00C449BA" w:rsidRDefault="00C449BA" w:rsidP="001C41E4">
      <w:pPr>
        <w:pStyle w:val="Prrafodelista"/>
        <w:numPr>
          <w:ilvl w:val="0"/>
          <w:numId w:val="0"/>
        </w:numPr>
        <w:shd w:val="clear" w:color="auto" w:fill="FFFFFF"/>
        <w:spacing w:after="150"/>
        <w:ind w:left="720"/>
      </w:pPr>
    </w:p>
    <w:p w14:paraId="4BC6B63B" w14:textId="4AE85240" w:rsidR="00C449BA" w:rsidRPr="001C41E4" w:rsidRDefault="00C449BA" w:rsidP="00907145">
      <w:pPr>
        <w:pStyle w:val="Prrafodelista"/>
        <w:numPr>
          <w:ilvl w:val="0"/>
          <w:numId w:val="20"/>
        </w:numPr>
        <w:shd w:val="clear" w:color="auto" w:fill="FFFFFF"/>
        <w:spacing w:after="150"/>
        <w:rPr>
          <w:b/>
          <w:bCs/>
          <w:u w:val="single"/>
        </w:rPr>
      </w:pPr>
      <w:r w:rsidRPr="001C41E4">
        <w:rPr>
          <w:b/>
          <w:bCs/>
          <w:u w:val="single"/>
        </w:rPr>
        <w:t>Control “de hecho” del fideicomiso</w:t>
      </w:r>
      <w:r w:rsidR="004B2B8B">
        <w:rPr>
          <w:b/>
          <w:bCs/>
          <w:u w:val="single"/>
        </w:rPr>
        <w:t>.</w:t>
      </w:r>
      <w:r>
        <w:t xml:space="preserve"> </w:t>
      </w:r>
      <w:r w:rsidRPr="00AE0B33">
        <w:t xml:space="preserve">En los fideicomisos -y otros vehículos de inversión-, el control formal puede recaer en sujetos que no desarrollan actividad económica ni registran facturación propia, lo que, en apariencia, podría excluir la operación del régimen </w:t>
      </w:r>
      <w:r w:rsidRPr="00AE0B33">
        <w:lastRenderedPageBreak/>
        <w:t xml:space="preserve">de control de concentraciones. Sin embargo, </w:t>
      </w:r>
      <w:r>
        <w:t>COPRODEC</w:t>
      </w:r>
      <w:r w:rsidRPr="00AE0B33">
        <w:t xml:space="preserve"> no se limita</w:t>
      </w:r>
      <w:r>
        <w:t>rá</w:t>
      </w:r>
      <w:r w:rsidRPr="00AE0B33">
        <w:t xml:space="preserve"> a la forma jurídica, sino que atiende al control real y efectivo ejercido sobre el vehículo.</w:t>
      </w:r>
    </w:p>
    <w:p w14:paraId="5517E325" w14:textId="77777777" w:rsidR="00C449BA" w:rsidRPr="001C41E4" w:rsidRDefault="00C449BA" w:rsidP="001C41E4">
      <w:pPr>
        <w:pStyle w:val="Prrafodelista"/>
        <w:numPr>
          <w:ilvl w:val="0"/>
          <w:numId w:val="0"/>
        </w:numPr>
        <w:ind w:left="644"/>
        <w:rPr>
          <w:b/>
          <w:bCs/>
          <w:u w:val="single"/>
        </w:rPr>
      </w:pPr>
    </w:p>
    <w:p w14:paraId="3DED2E20" w14:textId="5C86B8FE" w:rsidR="00D51C4D" w:rsidRPr="005B11A3" w:rsidRDefault="00D51C4D" w:rsidP="005B11A3">
      <w:pPr>
        <w:pStyle w:val="Prrafodelista"/>
        <w:numPr>
          <w:ilvl w:val="0"/>
          <w:numId w:val="20"/>
        </w:numPr>
        <w:shd w:val="clear" w:color="auto" w:fill="FFFFFF"/>
        <w:spacing w:after="150"/>
        <w:rPr>
          <w:b/>
          <w:bCs/>
          <w:u w:val="single"/>
        </w:rPr>
      </w:pPr>
      <w:r w:rsidRPr="00AE0B33">
        <w:t xml:space="preserve">En consecuencia, al efectuar el análisis preliminar de notificación, </w:t>
      </w:r>
      <w:r>
        <w:t>los participantes</w:t>
      </w:r>
      <w:r w:rsidRPr="00AE0B33">
        <w:t xml:space="preserve"> deberán verificar </w:t>
      </w:r>
      <w:r>
        <w:t>si existe</w:t>
      </w:r>
      <w:r w:rsidRPr="00AE0B33">
        <w:t xml:space="preserve"> de control “de </w:t>
      </w:r>
      <w:r w:rsidR="00BF39F3">
        <w:t>hecho</w:t>
      </w:r>
      <w:r w:rsidRPr="00AE0B33">
        <w:t>”. Si lo hubiera, debe considerarse a dicho controlante a efectos del cálculo de los umbrales</w:t>
      </w:r>
      <w:r>
        <w:t>.</w:t>
      </w:r>
    </w:p>
    <w:p w14:paraId="75D409AD" w14:textId="77777777" w:rsidR="00A369E7" w:rsidRDefault="00A369E7" w:rsidP="001C41E4">
      <w:pPr>
        <w:pStyle w:val="Prrafodelista"/>
        <w:numPr>
          <w:ilvl w:val="0"/>
          <w:numId w:val="0"/>
        </w:numPr>
        <w:shd w:val="clear" w:color="auto" w:fill="FFFFFF"/>
        <w:spacing w:after="150"/>
        <w:ind w:left="720"/>
      </w:pPr>
    </w:p>
    <w:p w14:paraId="7FA705ED" w14:textId="4DA84055" w:rsidR="00F07976" w:rsidRDefault="00A369E7" w:rsidP="00907145">
      <w:pPr>
        <w:pStyle w:val="Prrafodelista"/>
        <w:numPr>
          <w:ilvl w:val="0"/>
          <w:numId w:val="20"/>
        </w:numPr>
        <w:shd w:val="clear" w:color="auto" w:fill="FFFFFF"/>
        <w:spacing w:after="150"/>
      </w:pPr>
      <w:r w:rsidRPr="001C41E4">
        <w:rPr>
          <w:b/>
          <w:bCs/>
          <w:u w:val="single"/>
        </w:rPr>
        <w:t xml:space="preserve">Cálculo de umbrales cuando fiduciario </w:t>
      </w:r>
      <w:r w:rsidR="0056645C" w:rsidRPr="001C41E4">
        <w:rPr>
          <w:b/>
          <w:bCs/>
          <w:u w:val="single"/>
        </w:rPr>
        <w:t>u operador/gestor son controlantes</w:t>
      </w:r>
      <w:r w:rsidR="00A00087">
        <w:rPr>
          <w:b/>
          <w:bCs/>
          <w:u w:val="single"/>
        </w:rPr>
        <w:t xml:space="preserve"> del fideicomiso</w:t>
      </w:r>
      <w:r w:rsidR="004B2B8B">
        <w:rPr>
          <w:b/>
          <w:bCs/>
          <w:u w:val="single"/>
        </w:rPr>
        <w:t>.</w:t>
      </w:r>
      <w:r w:rsidR="0056645C" w:rsidRPr="00514E3B">
        <w:t xml:space="preserve"> </w:t>
      </w:r>
      <w:r w:rsidR="00F07976">
        <w:t>Del análisis de la estructura del fideicomiso, puede surgir que</w:t>
      </w:r>
      <w:r w:rsidR="00243333">
        <w:t>,</w:t>
      </w:r>
      <w:r w:rsidR="00F07976">
        <w:t xml:space="preserve"> el control recaiga, por ejemplo, en el fiduciario (administrador) o en el operador/gestor, quien en la práctica dirige el negocio</w:t>
      </w:r>
      <w:r w:rsidR="00C45958">
        <w:t xml:space="preserve">. </w:t>
      </w:r>
    </w:p>
    <w:p w14:paraId="5A224AD4" w14:textId="77777777" w:rsidR="00F07976" w:rsidRDefault="00F07976" w:rsidP="001C41E4">
      <w:pPr>
        <w:pStyle w:val="Prrafodelista"/>
        <w:numPr>
          <w:ilvl w:val="0"/>
          <w:numId w:val="0"/>
        </w:numPr>
        <w:ind w:left="644"/>
      </w:pPr>
    </w:p>
    <w:p w14:paraId="459B4531" w14:textId="358EE18F" w:rsidR="00F07976" w:rsidRDefault="00F07976" w:rsidP="00907145">
      <w:pPr>
        <w:pStyle w:val="Prrafodelista"/>
        <w:numPr>
          <w:ilvl w:val="0"/>
          <w:numId w:val="20"/>
        </w:numPr>
      </w:pPr>
      <w:r>
        <w:t>Cuando el control recae en el fiduciario, debe tenerse en cuenta que éste suele administrar múltiples fideicomisos. Si bien cada uno de ellos constituye, en principio, un vehículo jurídicamente independiente, dicha autonomía formal no resulta determinante desde una perspectiva competitiva. En efecto, la administración de diversos fideicomisos por un mismo fiduciario puede justificar su consideración como una única unidad económica y, en consecuencia, como parte de un mismo grupo empresarial.</w:t>
      </w:r>
    </w:p>
    <w:p w14:paraId="1FC1EA32" w14:textId="77777777" w:rsidR="00CF7710" w:rsidRDefault="00CF7710" w:rsidP="001C41E4">
      <w:pPr>
        <w:pStyle w:val="Prrafodelista"/>
        <w:numPr>
          <w:ilvl w:val="0"/>
          <w:numId w:val="0"/>
        </w:numPr>
        <w:ind w:left="644"/>
      </w:pPr>
    </w:p>
    <w:p w14:paraId="70BA3872" w14:textId="2411FA7D" w:rsidR="00F07976" w:rsidRDefault="00F07976" w:rsidP="00907145">
      <w:pPr>
        <w:pStyle w:val="Prrafodelista"/>
        <w:numPr>
          <w:ilvl w:val="0"/>
          <w:numId w:val="20"/>
        </w:numPr>
      </w:pPr>
      <w:r>
        <w:t>En tales supuestos, a los efectos del cálculo de los umbrales de facturación, corresponde considerar conjuntamente la facturación de las empresas de cartera de los distintos fideicomisos que controla el fiduciario.</w:t>
      </w:r>
    </w:p>
    <w:p w14:paraId="3F0B96B8" w14:textId="77777777" w:rsidR="0037673E" w:rsidRDefault="0037673E" w:rsidP="001C41E4">
      <w:pPr>
        <w:pStyle w:val="Prrafodelista"/>
        <w:numPr>
          <w:ilvl w:val="0"/>
          <w:numId w:val="0"/>
        </w:numPr>
        <w:ind w:left="720"/>
      </w:pPr>
    </w:p>
    <w:p w14:paraId="331470D7" w14:textId="506F3B40" w:rsidR="00F07976" w:rsidRDefault="00F07976" w:rsidP="00907145">
      <w:pPr>
        <w:pStyle w:val="Prrafodelista"/>
        <w:numPr>
          <w:ilvl w:val="0"/>
          <w:numId w:val="20"/>
        </w:numPr>
      </w:pPr>
      <w:r>
        <w:t>De manera excepcional, podrá sostenerse que el fideicomiso directamente involucrado en la operación no integra el mismo grupo empresarial que otros fideicomisos administrados por el mismo fiduciario y que, en consecuencia, éstos no deben considerarse a los efectos del cálculo de los umbrales de facturación (</w:t>
      </w:r>
      <w:r w:rsidRPr="00CF7710">
        <w:rPr>
          <w:i/>
        </w:rPr>
        <w:t>“f</w:t>
      </w:r>
      <w:r w:rsidR="00F63C3C">
        <w:rPr>
          <w:i/>
        </w:rPr>
        <w:t>o</w:t>
      </w:r>
      <w:r w:rsidRPr="00CF7710">
        <w:rPr>
          <w:i/>
        </w:rPr>
        <w:t>und-based approach</w:t>
      </w:r>
      <w:r>
        <w:t>”).</w:t>
      </w:r>
    </w:p>
    <w:p w14:paraId="560CEE52" w14:textId="77777777" w:rsidR="00CF7710" w:rsidRDefault="00CF7710" w:rsidP="001C41E4">
      <w:pPr>
        <w:pStyle w:val="Prrafodelista"/>
        <w:numPr>
          <w:ilvl w:val="0"/>
          <w:numId w:val="0"/>
        </w:numPr>
        <w:ind w:left="720"/>
      </w:pPr>
    </w:p>
    <w:p w14:paraId="3239B2A9" w14:textId="1634AA5A" w:rsidR="00F07976" w:rsidRDefault="00F07976" w:rsidP="00907145">
      <w:pPr>
        <w:pStyle w:val="Prrafodelista"/>
        <w:numPr>
          <w:ilvl w:val="0"/>
          <w:numId w:val="20"/>
        </w:numPr>
      </w:pPr>
      <w:r>
        <w:t>A tales efectos, las partes deben, en su examen preliminar y, en su caso, explicar y acreditar ante COPRODEC la existencia de</w:t>
      </w:r>
      <w:r w:rsidR="00A31102">
        <w:t xml:space="preserve"> separaciones</w:t>
      </w:r>
      <w:r w:rsidR="002414A0">
        <w:t xml:space="preserve"> </w:t>
      </w:r>
      <w:r>
        <w:t xml:space="preserve">reales y efectivas, tales como: inversores distintos, reglas de funcionamiento propias de cada fideicomiso, planes de negocio diferenciados, comités de inversión o de vigilancia separados, ausencia de intercambio de información comercialmente sensible, de modo de descartar riesgos de coordinación. </w:t>
      </w:r>
    </w:p>
    <w:p w14:paraId="583B334F" w14:textId="77777777" w:rsidR="00CF7710" w:rsidRDefault="00CF7710" w:rsidP="001C41E4">
      <w:pPr>
        <w:pStyle w:val="Prrafodelista"/>
        <w:numPr>
          <w:ilvl w:val="0"/>
          <w:numId w:val="0"/>
        </w:numPr>
        <w:ind w:left="720"/>
      </w:pPr>
    </w:p>
    <w:p w14:paraId="6A87CCF7" w14:textId="4AB8E9F9" w:rsidR="00F07976" w:rsidRDefault="00F07976" w:rsidP="00907145">
      <w:pPr>
        <w:pStyle w:val="Prrafodelista"/>
        <w:numPr>
          <w:ilvl w:val="0"/>
          <w:numId w:val="20"/>
        </w:numPr>
      </w:pPr>
      <w:r>
        <w:lastRenderedPageBreak/>
        <w:t>El mismo criterio resulta aplicable al grupo económico del gestor u operador cuando es éste quien ejerce una influencia decisiva sobre la actividad de varios negocios que gestiona.</w:t>
      </w:r>
    </w:p>
    <w:p w14:paraId="7773493D" w14:textId="77777777" w:rsidR="004B2B8B" w:rsidRDefault="004B2B8B" w:rsidP="004B2B8B">
      <w:pPr>
        <w:pStyle w:val="Prrafodelista"/>
        <w:numPr>
          <w:ilvl w:val="0"/>
          <w:numId w:val="0"/>
        </w:numPr>
        <w:ind w:left="644"/>
      </w:pPr>
    </w:p>
    <w:p w14:paraId="32F4E148" w14:textId="77777777" w:rsidR="004B2B8B" w:rsidRDefault="004B2B8B" w:rsidP="004B2B8B">
      <w:pPr>
        <w:pStyle w:val="Prrafodelista"/>
        <w:numPr>
          <w:ilvl w:val="0"/>
          <w:numId w:val="0"/>
        </w:numPr>
        <w:ind w:left="720"/>
      </w:pPr>
    </w:p>
    <w:p w14:paraId="6CBD072A" w14:textId="3F8E15B4" w:rsidR="007260DF" w:rsidRPr="000B2C58" w:rsidRDefault="007260DF" w:rsidP="001C6447">
      <w:pPr>
        <w:pStyle w:val="Ttulo1"/>
      </w:pPr>
      <w:bookmarkStart w:id="8" w:name="_Toc220936995"/>
      <w:r>
        <w:t>OPORTUNIDAD DE</w:t>
      </w:r>
      <w:r w:rsidR="00130BB4">
        <w:t>L REPORTE DE LA OPERACIÓN ANTE COPRODEC</w:t>
      </w:r>
      <w:bookmarkEnd w:id="8"/>
    </w:p>
    <w:p w14:paraId="7582027E" w14:textId="5C18CF42" w:rsidR="00CB788E" w:rsidRPr="001C41E4" w:rsidRDefault="007260DF" w:rsidP="00907145">
      <w:pPr>
        <w:pStyle w:val="Prrafodelista"/>
        <w:numPr>
          <w:ilvl w:val="0"/>
          <w:numId w:val="20"/>
        </w:numPr>
        <w:shd w:val="clear" w:color="auto" w:fill="FFFFFF"/>
        <w:spacing w:after="150"/>
        <w:rPr>
          <w:i/>
          <w:iCs/>
        </w:rPr>
      </w:pPr>
      <w:r>
        <w:t xml:space="preserve">Según el artículo 7 de la </w:t>
      </w:r>
      <w:r w:rsidR="002351C7">
        <w:t>LDC</w:t>
      </w:r>
      <w:r>
        <w:t xml:space="preserve">, </w:t>
      </w:r>
      <w:r w:rsidR="00640F43">
        <w:t>el reporte de la concentración económica</w:t>
      </w:r>
      <w:r>
        <w:t xml:space="preserve"> </w:t>
      </w:r>
      <w:r w:rsidR="00130BB4" w:rsidRPr="001C41E4">
        <w:rPr>
          <w:i/>
          <w:iCs/>
        </w:rPr>
        <w:t>“</w:t>
      </w:r>
      <w:r w:rsidRPr="001C41E4">
        <w:rPr>
          <w:i/>
          <w:iCs/>
        </w:rPr>
        <w:t>deberá</w:t>
      </w:r>
      <w:r w:rsidR="00130BB4" w:rsidRPr="001C41E4">
        <w:rPr>
          <w:i/>
          <w:iCs/>
        </w:rPr>
        <w:t>n</w:t>
      </w:r>
      <w:r w:rsidRPr="001C41E4">
        <w:rPr>
          <w:i/>
          <w:iCs/>
        </w:rPr>
        <w:t xml:space="preserve"> </w:t>
      </w:r>
      <w:r w:rsidR="00130BB4" w:rsidRPr="001C41E4">
        <w:rPr>
          <w:i/>
          <w:iCs/>
        </w:rPr>
        <w:t xml:space="preserve">presentarse en forma previa al perfeccionamiento del acto </w:t>
      </w:r>
      <w:r w:rsidRPr="001C41E4">
        <w:rPr>
          <w:i/>
          <w:iCs/>
        </w:rPr>
        <w:t>o</w:t>
      </w:r>
      <w:r w:rsidR="00130BB4" w:rsidRPr="001C41E4">
        <w:rPr>
          <w:i/>
          <w:iCs/>
        </w:rPr>
        <w:t xml:space="preserve"> de</w:t>
      </w:r>
      <w:r w:rsidRPr="001C41E4">
        <w:rPr>
          <w:i/>
          <w:iCs/>
        </w:rPr>
        <w:t xml:space="preserve"> la toma de control</w:t>
      </w:r>
      <w:r w:rsidR="00130BB4" w:rsidRPr="001C41E4">
        <w:rPr>
          <w:i/>
          <w:iCs/>
        </w:rPr>
        <w:t>, lo que acaeciere primero”</w:t>
      </w:r>
      <w:r w:rsidR="00CB788E" w:rsidRPr="00130BB4">
        <w:t>.</w:t>
      </w:r>
    </w:p>
    <w:p w14:paraId="17A684AD" w14:textId="77777777" w:rsidR="00CB788E" w:rsidRDefault="00CB788E" w:rsidP="00CB788E">
      <w:pPr>
        <w:pStyle w:val="Prrafodelista"/>
        <w:numPr>
          <w:ilvl w:val="0"/>
          <w:numId w:val="0"/>
        </w:numPr>
        <w:shd w:val="clear" w:color="auto" w:fill="FFFFFF"/>
        <w:spacing w:after="150" w:line="240" w:lineRule="auto"/>
        <w:ind w:left="644"/>
      </w:pPr>
    </w:p>
    <w:p w14:paraId="3F39E896" w14:textId="3ED3F802" w:rsidR="006929B7" w:rsidRDefault="006929B7" w:rsidP="00907145">
      <w:pPr>
        <w:pStyle w:val="Prrafodelista"/>
        <w:numPr>
          <w:ilvl w:val="0"/>
          <w:numId w:val="20"/>
        </w:numPr>
        <w:shd w:val="clear" w:color="auto" w:fill="FFFFFF"/>
        <w:spacing w:after="150"/>
      </w:pPr>
      <w:r>
        <w:t xml:space="preserve">Esto implica que, una vez que las partes han </w:t>
      </w:r>
      <w:r w:rsidR="002B63F0">
        <w:t>evaluado</w:t>
      </w:r>
      <w:r>
        <w:t xml:space="preserve"> que la operación de concentración económica debe ser reportada ante la COPRODEC, la presentación debe realizarse con carácter previo a la toma de control, esto es, antes de que se inicie el ejercicio de influencia decisiva sobre la entidad objetivo </w:t>
      </w:r>
      <w:r w:rsidRPr="001C41E4">
        <w:rPr>
          <w:i/>
          <w:iCs/>
        </w:rPr>
        <w:t>(</w:t>
      </w:r>
      <w:r w:rsidR="00930D65">
        <w:rPr>
          <w:i/>
          <w:iCs/>
        </w:rPr>
        <w:t>“</w:t>
      </w:r>
      <w:r w:rsidR="00C461EC">
        <w:rPr>
          <w:i/>
          <w:iCs/>
        </w:rPr>
        <w:t>t</w:t>
      </w:r>
      <w:r w:rsidR="00930D65">
        <w:rPr>
          <w:i/>
          <w:iCs/>
        </w:rPr>
        <w:t>arget”)</w:t>
      </w:r>
      <w:r>
        <w:rPr>
          <w:i/>
          <w:iCs/>
        </w:rPr>
        <w:t xml:space="preserve"> </w:t>
      </w:r>
      <w:r>
        <w:t xml:space="preserve">o antes de que inicie la actividad de la empresa en participación. </w:t>
      </w:r>
    </w:p>
    <w:p w14:paraId="78CE2849" w14:textId="77777777" w:rsidR="00930D65" w:rsidRDefault="00930D65" w:rsidP="001C41E4">
      <w:pPr>
        <w:pStyle w:val="Prrafodelista"/>
        <w:numPr>
          <w:ilvl w:val="0"/>
          <w:numId w:val="0"/>
        </w:numPr>
        <w:ind w:left="644"/>
      </w:pPr>
    </w:p>
    <w:p w14:paraId="6A3C9FB6" w14:textId="7265102B" w:rsidR="00CB788E" w:rsidRDefault="00D7700A" w:rsidP="00907145">
      <w:pPr>
        <w:pStyle w:val="Prrafodelista"/>
        <w:numPr>
          <w:ilvl w:val="0"/>
          <w:numId w:val="20"/>
        </w:numPr>
        <w:shd w:val="clear" w:color="auto" w:fill="FFFFFF"/>
        <w:spacing w:after="150"/>
      </w:pPr>
      <w:r>
        <w:t xml:space="preserve">A modo de ejemplo, en las operaciones que involucran la venta de una compañía, suele celebrarse un contrato de compraventa de acciones </w:t>
      </w:r>
      <w:r w:rsidRPr="001C41E4">
        <w:rPr>
          <w:i/>
          <w:iCs/>
        </w:rPr>
        <w:t>(</w:t>
      </w:r>
      <w:r w:rsidRPr="0019189B">
        <w:rPr>
          <w:i/>
          <w:iCs/>
        </w:rPr>
        <w:t xml:space="preserve">Share &amp; Purchase Agreement) </w:t>
      </w:r>
      <w:r>
        <w:t xml:space="preserve">sujeto a condiciones suspensivas, entre ellas, cuando corresponda, la obtención de la autorización de la COPRODEC. En tales supuestos, las partes no </w:t>
      </w:r>
      <w:r>
        <w:lastRenderedPageBreak/>
        <w:t xml:space="preserve">pueden cerrar la operación </w:t>
      </w:r>
      <w:r w:rsidRPr="0019189B">
        <w:rPr>
          <w:i/>
          <w:iCs/>
        </w:rPr>
        <w:t xml:space="preserve">(closing) </w:t>
      </w:r>
      <w:r>
        <w:t xml:space="preserve">-esto es, no puede producirse la entrega de las acciones ni, por ende, la toma de control por parte del comprador- hasta tanto la COPRODEC haya otorgado la autorización correspondiente. El incumplimiento de esta obligación expone a las partes al régimen de sanciones por gun-jumping, que se desarrolla </w:t>
      </w:r>
      <w:r w:rsidRPr="001C41E4">
        <w:rPr>
          <w:i/>
          <w:iCs/>
        </w:rPr>
        <w:t>infra</w:t>
      </w:r>
      <w:r>
        <w:t xml:space="preserve"> en el apartado relativo a </w:t>
      </w:r>
      <w:r w:rsidRPr="001C41E4">
        <w:rPr>
          <w:i/>
          <w:iCs/>
        </w:rPr>
        <w:t>Sanciones</w:t>
      </w:r>
      <w:r w:rsidR="00CB788E">
        <w:t>.</w:t>
      </w:r>
    </w:p>
    <w:p w14:paraId="28565361" w14:textId="77777777" w:rsidR="0002301E" w:rsidRPr="001C41E4" w:rsidRDefault="0002301E" w:rsidP="001C41E4">
      <w:pPr>
        <w:pStyle w:val="Prrafodelista"/>
        <w:numPr>
          <w:ilvl w:val="0"/>
          <w:numId w:val="0"/>
        </w:numPr>
        <w:shd w:val="clear" w:color="auto" w:fill="FFFFFF"/>
        <w:spacing w:after="150"/>
        <w:ind w:left="644"/>
        <w:rPr>
          <w:i/>
          <w:iCs/>
        </w:rPr>
      </w:pPr>
    </w:p>
    <w:p w14:paraId="69798A3A" w14:textId="265C09A4" w:rsidR="0002301E" w:rsidRDefault="0002301E" w:rsidP="00907145">
      <w:pPr>
        <w:pStyle w:val="Prrafodelista"/>
        <w:numPr>
          <w:ilvl w:val="0"/>
          <w:numId w:val="20"/>
        </w:numPr>
        <w:shd w:val="clear" w:color="auto" w:fill="FFFFFF"/>
        <w:spacing w:after="150"/>
        <w:rPr>
          <w:i/>
          <w:iCs/>
        </w:rPr>
      </w:pPr>
      <w:r>
        <w:t xml:space="preserve">A su vez, el artículo 39 inciso 3 del Decreto No. 404/007 establece que </w:t>
      </w:r>
      <w:r>
        <w:rPr>
          <w:i/>
          <w:iCs/>
        </w:rPr>
        <w:t xml:space="preserve">“Las concentraciones derivadas de actos jurídicos realizados en el extranjero, deberán notificarse antes de que se produzcan efectos jurídicos o materiales en el territorio nacional”. </w:t>
      </w:r>
    </w:p>
    <w:p w14:paraId="4C83FC8B" w14:textId="77777777" w:rsidR="0002301E" w:rsidRPr="001C41E4" w:rsidRDefault="0002301E" w:rsidP="001C41E4">
      <w:pPr>
        <w:pStyle w:val="Prrafodelista"/>
        <w:numPr>
          <w:ilvl w:val="0"/>
          <w:numId w:val="0"/>
        </w:numPr>
        <w:ind w:left="644"/>
        <w:rPr>
          <w:i/>
          <w:iCs/>
        </w:rPr>
      </w:pPr>
    </w:p>
    <w:p w14:paraId="51E2517A" w14:textId="3E5DA37A" w:rsidR="00613943" w:rsidRDefault="004E6F89" w:rsidP="001C41E4">
      <w:pPr>
        <w:pStyle w:val="Prrafodelista"/>
        <w:numPr>
          <w:ilvl w:val="0"/>
          <w:numId w:val="0"/>
        </w:numPr>
        <w:ind w:left="720"/>
      </w:pPr>
      <w:r>
        <w:t xml:space="preserve">Así, tanto el artículo 7 de la LDC como el artículo 39 inciso 3 del Decreto No. 404/007 consagran el principio de </w:t>
      </w:r>
      <w:r w:rsidR="00E06AB5">
        <w:t xml:space="preserve">reporte </w:t>
      </w:r>
      <w:r>
        <w:t>previ</w:t>
      </w:r>
      <w:r w:rsidR="00E06AB5">
        <w:t>o</w:t>
      </w:r>
      <w:r>
        <w:t xml:space="preserve">, impidiendo que las concentraciones </w:t>
      </w:r>
      <w:r w:rsidR="00613943">
        <w:t>económicas produzcan efectos en Uruguay antes de la autorización de COPRODEC.</w:t>
      </w:r>
    </w:p>
    <w:p w14:paraId="52CD47E8" w14:textId="77777777" w:rsidR="0002301E" w:rsidRDefault="0002301E" w:rsidP="001C41E4">
      <w:pPr>
        <w:pStyle w:val="Prrafodelista"/>
        <w:numPr>
          <w:ilvl w:val="0"/>
          <w:numId w:val="0"/>
        </w:numPr>
        <w:ind w:left="720"/>
      </w:pPr>
    </w:p>
    <w:p w14:paraId="3BA2286C" w14:textId="3D785041" w:rsidR="00CB788E" w:rsidRDefault="00415C67" w:rsidP="00907145">
      <w:pPr>
        <w:pStyle w:val="Prrafodelista"/>
        <w:numPr>
          <w:ilvl w:val="0"/>
          <w:numId w:val="20"/>
        </w:numPr>
      </w:pPr>
      <w:r w:rsidRPr="001C41E4">
        <w:rPr>
          <w:b/>
          <w:bCs/>
          <w:u w:val="single"/>
        </w:rPr>
        <w:t>Intención real de llevar a cabo el negocio debidamente acreditada</w:t>
      </w:r>
      <w:r w:rsidR="00181967">
        <w:rPr>
          <w:b/>
          <w:bCs/>
          <w:u w:val="single"/>
        </w:rPr>
        <w:t>.</w:t>
      </w:r>
      <w:r w:rsidRPr="001C41E4">
        <w:rPr>
          <w:b/>
          <w:bCs/>
        </w:rPr>
        <w:t xml:space="preserve"> </w:t>
      </w:r>
      <w:r w:rsidR="005105AB" w:rsidRPr="00415C67">
        <w:t xml:space="preserve">En </w:t>
      </w:r>
      <w:r w:rsidR="005105AB">
        <w:t>ese contexto, COPRODEC entiende que el reporte de la operación de concentración debe</w:t>
      </w:r>
      <w:r w:rsidR="0027501A">
        <w:t>rá</w:t>
      </w:r>
      <w:r w:rsidR="005105AB">
        <w:t xml:space="preserve"> realizarse por las partes cuando exista</w:t>
      </w:r>
      <w:r w:rsidR="00CB788E">
        <w:t xml:space="preserve"> una intención real y seria de llevar</w:t>
      </w:r>
      <w:r w:rsidR="005105AB">
        <w:t xml:space="preserve">la a cabo. </w:t>
      </w:r>
      <w:r w:rsidR="00CB788E">
        <w:t xml:space="preserve"> </w:t>
      </w:r>
      <w:r w:rsidR="005105AB">
        <w:t xml:space="preserve">A tales efectos, se considerarán indicios suficientes, entre otros: </w:t>
      </w:r>
      <w:r w:rsidR="00CB788E">
        <w:t xml:space="preserve">carta de intención, memorándum de entendimiento, borrador </w:t>
      </w:r>
      <w:r w:rsidR="005105AB">
        <w:t xml:space="preserve">avanzado del </w:t>
      </w:r>
      <w:r w:rsidR="005105AB">
        <w:lastRenderedPageBreak/>
        <w:t xml:space="preserve">contrato o acuerdo vinculante; </w:t>
      </w:r>
      <w:r w:rsidR="00CB788E">
        <w:t xml:space="preserve">anuncios públicos </w:t>
      </w:r>
      <w:r w:rsidR="005105AB">
        <w:t>de la operación; cualquier otro documento que permita acreditar un grado razonable de definición y compromiso entre las partes.</w:t>
      </w:r>
    </w:p>
    <w:p w14:paraId="1B3EA59E" w14:textId="77777777" w:rsidR="00031BEB" w:rsidRDefault="00031BEB" w:rsidP="001C41E4">
      <w:pPr>
        <w:pStyle w:val="Prrafodelista"/>
        <w:numPr>
          <w:ilvl w:val="0"/>
          <w:numId w:val="0"/>
        </w:numPr>
        <w:ind w:left="720"/>
      </w:pPr>
    </w:p>
    <w:p w14:paraId="10BDDADF" w14:textId="4BAB9907" w:rsidR="005105AB" w:rsidRDefault="0027501A" w:rsidP="00907145">
      <w:pPr>
        <w:pStyle w:val="Prrafodelista"/>
        <w:numPr>
          <w:ilvl w:val="0"/>
          <w:numId w:val="20"/>
        </w:numPr>
      </w:pPr>
      <w:r w:rsidRPr="001C41E4">
        <w:rPr>
          <w:b/>
          <w:bCs/>
          <w:u w:val="single"/>
        </w:rPr>
        <w:t>Identificación clara y precisa del negocio proyectado</w:t>
      </w:r>
      <w:r>
        <w:t xml:space="preserve"> La solicitud deberá contener una descripción completa, concreta y no ambigua del negocio jurídico proyectado</w:t>
      </w:r>
      <w:r w:rsidR="009F231F">
        <w:t>, los mercados relevantes en los que la operación tiene lugar y el posible impacto competitivo</w:t>
      </w:r>
      <w:r>
        <w:t xml:space="preserve">. </w:t>
      </w:r>
      <w:r w:rsidR="00920A37">
        <w:t>En ese sentido, no se admitirán solicitudes de notificación/autorización que i) di</w:t>
      </w:r>
      <w:r w:rsidR="00591696">
        <w:t xml:space="preserve">fieran para etapas posteriores la identificación del negocio, de los mercados relevantes o de los efectos competitivos de la operación; ii) condicionen el análisis de COPRODEC a decisiones futuras aún no adoptadas por las partes; iii) se presenten sujetas a definiciones futuras </w:t>
      </w:r>
      <w:r w:rsidR="00982F45">
        <w:t>que impidan una evaluación sustantiva de la operación.</w:t>
      </w:r>
    </w:p>
    <w:p w14:paraId="111A87C0" w14:textId="77777777" w:rsidR="00181967" w:rsidRDefault="00181967" w:rsidP="005B11A3"/>
    <w:p w14:paraId="26D6AB8C" w14:textId="39FEA741" w:rsidR="00CB788E" w:rsidRDefault="00CB788E" w:rsidP="001C6447">
      <w:pPr>
        <w:pStyle w:val="Ttulo1"/>
      </w:pPr>
      <w:bookmarkStart w:id="9" w:name="_Toc220936996"/>
      <w:r>
        <w:t>CONTENIDO DE</w:t>
      </w:r>
      <w:r w:rsidR="00542B77">
        <w:t>L REPORTE</w:t>
      </w:r>
      <w:r w:rsidR="00251EAD">
        <w:t xml:space="preserve"> ANTE COPRODEC</w:t>
      </w:r>
      <w:bookmarkEnd w:id="9"/>
    </w:p>
    <w:p w14:paraId="72B4BFCD" w14:textId="3A388DE6" w:rsidR="009A1088" w:rsidRPr="00D4780E" w:rsidRDefault="009A1088" w:rsidP="00907145">
      <w:pPr>
        <w:pStyle w:val="Prrafodelista"/>
        <w:numPr>
          <w:ilvl w:val="0"/>
          <w:numId w:val="20"/>
        </w:numPr>
      </w:pPr>
      <w:r w:rsidRPr="00D4780E">
        <w:t>A efectos de la presentación ante COPRODEC, y en función del cumplimiento de los umbrales de facturación</w:t>
      </w:r>
      <w:r w:rsidR="00DB388C" w:rsidRPr="00D4780E">
        <w:t xml:space="preserve"> previstos en la LDC, según se explicó supra </w:t>
      </w:r>
      <w:r w:rsidR="00DB388C" w:rsidRPr="00D4780E">
        <w:rPr>
          <w:i/>
          <w:iCs/>
        </w:rPr>
        <w:t>(ver</w:t>
      </w:r>
      <w:r w:rsidR="00DB388C" w:rsidRPr="00D4780E">
        <w:t xml:space="preserve"> </w:t>
      </w:r>
      <w:r w:rsidR="00DB388C" w:rsidRPr="00D4780E">
        <w:rPr>
          <w:i/>
          <w:iCs/>
        </w:rPr>
        <w:t>Umbrales de facturación)</w:t>
      </w:r>
      <w:r w:rsidR="00891565" w:rsidRPr="00D4780E">
        <w:t xml:space="preserve">, COPRODEC </w:t>
      </w:r>
      <w:r w:rsidR="00033CF2">
        <w:t xml:space="preserve">sometió a consulta pública y </w:t>
      </w:r>
      <w:r w:rsidR="00891565" w:rsidRPr="00D4780E">
        <w:t>aprobó dos Formularios diferenciados, conforme se detalla a continuación:</w:t>
      </w:r>
    </w:p>
    <w:p w14:paraId="3F675044" w14:textId="1E7EB76F" w:rsidR="00CA3F33" w:rsidRDefault="0067540D">
      <w:pPr>
        <w:pStyle w:val="Prrafodelista"/>
        <w:numPr>
          <w:ilvl w:val="0"/>
          <w:numId w:val="40"/>
        </w:numPr>
      </w:pPr>
      <w:r w:rsidRPr="00D4780E">
        <w:lastRenderedPageBreak/>
        <w:t>Cuando los participantes superan ambos umbrales de facturación, corresponde la solicitud de autorización de concentración económica</w:t>
      </w:r>
      <w:r w:rsidR="0074485A" w:rsidRPr="00D4780E">
        <w:t xml:space="preserve"> ante COPRODEC</w:t>
      </w:r>
      <w:r w:rsidR="00CA3F33" w:rsidRPr="00D4780E">
        <w:t>,</w:t>
      </w:r>
      <w:r w:rsidRPr="00D4780E">
        <w:t xml:space="preserve"> para lo cual resulta aplicable el </w:t>
      </w:r>
      <w:r w:rsidRPr="00033CF2">
        <w:rPr>
          <w:u w:val="single"/>
        </w:rPr>
        <w:t>Formulario de Solicitud de Autorización de Concentración Económica.</w:t>
      </w:r>
    </w:p>
    <w:p w14:paraId="77F1D5F6" w14:textId="51B2B6F5" w:rsidR="00637430" w:rsidRPr="00D4780E" w:rsidRDefault="00637430" w:rsidP="00637430">
      <w:pPr>
        <w:pStyle w:val="Prrafodelista"/>
        <w:numPr>
          <w:ilvl w:val="0"/>
          <w:numId w:val="40"/>
        </w:numPr>
      </w:pPr>
      <w:r>
        <w:t xml:space="preserve">Cuando los participantes cumplen con el umbral conjunto, pero no con el umbral individual, corresponde la información del acto de concentración a COPRODEC, para lo cual resulta aplicable el </w:t>
      </w:r>
      <w:r w:rsidRPr="00033CF2">
        <w:rPr>
          <w:u w:val="single"/>
        </w:rPr>
        <w:t>Formulario de Notificación de Concentración Económica.</w:t>
      </w:r>
    </w:p>
    <w:p w14:paraId="1E257D6C" w14:textId="77777777" w:rsidR="00F0126A" w:rsidRDefault="00F0126A" w:rsidP="00F0126A">
      <w:pPr>
        <w:pStyle w:val="Prrafodelista"/>
        <w:numPr>
          <w:ilvl w:val="0"/>
          <w:numId w:val="0"/>
        </w:numPr>
        <w:ind w:left="644"/>
      </w:pPr>
    </w:p>
    <w:p w14:paraId="7790D09F" w14:textId="0E245AD7" w:rsidR="00F0126A" w:rsidRDefault="000E0696" w:rsidP="00D4780E">
      <w:pPr>
        <w:pStyle w:val="Prrafodelista"/>
        <w:numPr>
          <w:ilvl w:val="0"/>
          <w:numId w:val="20"/>
        </w:numPr>
      </w:pPr>
      <w:r>
        <w:t xml:space="preserve">En el </w:t>
      </w:r>
      <w:r w:rsidRPr="00D4780E">
        <w:rPr>
          <w:b/>
          <w:bCs/>
          <w:u w:val="single"/>
        </w:rPr>
        <w:t>ANEXO I</w:t>
      </w:r>
      <w:r>
        <w:t xml:space="preserve"> del presente se detalla un glosario de</w:t>
      </w:r>
      <w:r w:rsidR="00CE5454">
        <w:t xml:space="preserve"> la</w:t>
      </w:r>
      <w:r>
        <w:t xml:space="preserve"> terminología empleada </w:t>
      </w:r>
      <w:r w:rsidR="00CE5454">
        <w:t>los Formulario</w:t>
      </w:r>
      <w:r w:rsidR="00952AB2">
        <w:t>s a efectos de su cabal comprensión, así como aspectos</w:t>
      </w:r>
      <w:r w:rsidR="0094045C">
        <w:t xml:space="preserve"> formales</w:t>
      </w:r>
      <w:r w:rsidR="00952AB2">
        <w:t xml:space="preserve"> relativos a la</w:t>
      </w:r>
      <w:r w:rsidR="00917E96">
        <w:t xml:space="preserve"> presentación de la información</w:t>
      </w:r>
      <w:r w:rsidR="008648CD">
        <w:t xml:space="preserve"> y su confidencialidad</w:t>
      </w:r>
      <w:r w:rsidR="007E50E2">
        <w:t>. Adicionalmente, se proporciona a los usuarios</w:t>
      </w:r>
      <w:r w:rsidR="00952AB2">
        <w:t xml:space="preserve"> una serie de lineamientos orientados a la realización del análisis competitivo de la operación, con el objetivo de evitar eventuales requerimientos adicionales de información por parte de la autoridad. </w:t>
      </w:r>
    </w:p>
    <w:p w14:paraId="23BD9B56" w14:textId="77777777" w:rsidR="005B11A3" w:rsidRPr="00D4780E" w:rsidRDefault="005B11A3" w:rsidP="005B11A3">
      <w:pPr>
        <w:pStyle w:val="Prrafodelista"/>
        <w:numPr>
          <w:ilvl w:val="0"/>
          <w:numId w:val="0"/>
        </w:numPr>
        <w:ind w:left="720"/>
      </w:pPr>
    </w:p>
    <w:p w14:paraId="55C55F18" w14:textId="77777777" w:rsidR="001359C9" w:rsidRPr="00D4780E" w:rsidRDefault="001359C9" w:rsidP="00D4780E">
      <w:pPr>
        <w:ind w:firstLine="360"/>
        <w:rPr>
          <w:b/>
          <w:bCs/>
          <w:color w:val="1F497D" w:themeColor="text2"/>
        </w:rPr>
      </w:pPr>
      <w:r w:rsidRPr="00D4780E">
        <w:rPr>
          <w:rFonts w:ascii="Arial" w:hAnsi="Arial" w:cs="Arial"/>
          <w:b/>
          <w:bCs/>
          <w:color w:val="1F497D" w:themeColor="text2"/>
          <w:sz w:val="24"/>
          <w:szCs w:val="24"/>
        </w:rPr>
        <w:t xml:space="preserve">Excepciones </w:t>
      </w:r>
    </w:p>
    <w:p w14:paraId="09D84C68" w14:textId="77777777" w:rsidR="000D4BD2" w:rsidRDefault="007D49E4" w:rsidP="00907145">
      <w:pPr>
        <w:pStyle w:val="Prrafodelista"/>
        <w:numPr>
          <w:ilvl w:val="0"/>
          <w:numId w:val="20"/>
        </w:numPr>
      </w:pPr>
      <w:r w:rsidRPr="007D49E4">
        <w:t xml:space="preserve">Sin perjuicio de lo anterior, aun cuando los participantes no superen el umbral individual de facturación y, en principio, </w:t>
      </w:r>
      <w:r w:rsidRPr="007D49E4">
        <w:lastRenderedPageBreak/>
        <w:t>corresponda</w:t>
      </w:r>
      <w:r w:rsidR="004B73D7">
        <w:t xml:space="preserve"> informar la operación ante COPRODEC mediante el Formulario de Notificación, la COPRODEC podrá requerir la tramitación de una solicitud de autorización mediante el Formulario de Solicitud de Autorización</w:t>
      </w:r>
      <w:r w:rsidR="000D4BD2">
        <w:t>, cuando atendidas las circunstancias del caso, resulte necesario profundizar el análisis competitivo de la operación.</w:t>
      </w:r>
    </w:p>
    <w:p w14:paraId="56C7AA36" w14:textId="77777777" w:rsidR="00065AE8" w:rsidRDefault="00065AE8" w:rsidP="00D4780E">
      <w:pPr>
        <w:pStyle w:val="Prrafodelista"/>
        <w:numPr>
          <w:ilvl w:val="0"/>
          <w:numId w:val="0"/>
        </w:numPr>
        <w:ind w:left="720"/>
      </w:pPr>
    </w:p>
    <w:p w14:paraId="4F9CCB4D" w14:textId="097CD626" w:rsidR="007D49E4" w:rsidRDefault="000D4BD2" w:rsidP="00907145">
      <w:pPr>
        <w:pStyle w:val="Prrafodelista"/>
        <w:numPr>
          <w:ilvl w:val="0"/>
          <w:numId w:val="20"/>
        </w:numPr>
      </w:pPr>
      <w:r>
        <w:t>A tales efectos,</w:t>
      </w:r>
      <w:r w:rsidR="00C57BCE">
        <w:t xml:space="preserve"> la</w:t>
      </w:r>
      <w:r>
        <w:t xml:space="preserve"> COPRODEC</w:t>
      </w:r>
      <w:r w:rsidR="00C57BCE">
        <w:t xml:space="preserve"> podrá considerar, entre otros elementos</w:t>
      </w:r>
      <w:r w:rsidR="00D956CB">
        <w:t xml:space="preserve">, la estructura y el grado </w:t>
      </w:r>
      <w:r w:rsidR="001D09E1">
        <w:t xml:space="preserve">de </w:t>
      </w:r>
      <w:r w:rsidR="0089462D">
        <w:t xml:space="preserve">concentración del mercado involucrado, el nivel </w:t>
      </w:r>
      <w:r w:rsidR="002F4C06">
        <w:t xml:space="preserve">de competencia efectiva, la existencia </w:t>
      </w:r>
      <w:r w:rsidR="005072CA">
        <w:t xml:space="preserve">de barreras a la entrada, la dimensión del mercado geográfico relevante y los antecedentes de las empresas intervinientes, en particular cuando se verifique una recurrencia de operaciones de concentración. </w:t>
      </w:r>
    </w:p>
    <w:p w14:paraId="741CF993" w14:textId="77777777" w:rsidR="00EE229C" w:rsidRPr="007D49E4" w:rsidRDefault="00EE229C" w:rsidP="00D4780E">
      <w:pPr>
        <w:pStyle w:val="Prrafodelista"/>
        <w:numPr>
          <w:ilvl w:val="0"/>
          <w:numId w:val="0"/>
        </w:numPr>
        <w:ind w:left="720"/>
      </w:pPr>
    </w:p>
    <w:p w14:paraId="22333D4F" w14:textId="3C88A7D9" w:rsidR="00615112" w:rsidRPr="00181967" w:rsidRDefault="00EE229C" w:rsidP="00181967">
      <w:pPr>
        <w:pStyle w:val="Prrafodelista"/>
        <w:numPr>
          <w:ilvl w:val="0"/>
          <w:numId w:val="20"/>
        </w:numPr>
      </w:pPr>
      <w:r>
        <w:t>Este criterio resulta especialmente relevante en mercados en proceso</w:t>
      </w:r>
      <w:r w:rsidR="00D66444">
        <w:t xml:space="preserve"> de concentración progresiva</w:t>
      </w:r>
    </w:p>
    <w:p w14:paraId="48F9F44E" w14:textId="77777777" w:rsidR="00615112" w:rsidRPr="005C302F" w:rsidRDefault="00615112" w:rsidP="00615112">
      <w:pPr>
        <w:pStyle w:val="Prrafodelista"/>
        <w:numPr>
          <w:ilvl w:val="0"/>
          <w:numId w:val="0"/>
        </w:numPr>
        <w:ind w:left="644"/>
        <w:rPr>
          <w:b/>
          <w:bCs/>
        </w:rPr>
      </w:pPr>
    </w:p>
    <w:p w14:paraId="381E23E9" w14:textId="765E96C7" w:rsidR="00615112" w:rsidRPr="005C302F" w:rsidRDefault="00615112" w:rsidP="00907145">
      <w:pPr>
        <w:pStyle w:val="Prrafodelista"/>
        <w:numPr>
          <w:ilvl w:val="0"/>
          <w:numId w:val="20"/>
        </w:numPr>
        <w:rPr>
          <w:b/>
          <w:bCs/>
        </w:rPr>
      </w:pPr>
      <w:r>
        <w:rPr>
          <w:b/>
          <w:bCs/>
        </w:rPr>
        <w:t xml:space="preserve"> </w:t>
      </w:r>
      <w:r>
        <w:t>por ejemplo, mediante adquisiciones sucesivas de menor entidad</w:t>
      </w:r>
      <w:r w:rsidR="00E214D8">
        <w:t>, así como en</w:t>
      </w:r>
      <w:r>
        <w:t xml:space="preserve"> mercados geográficos reducidos, </w:t>
      </w:r>
      <w:r w:rsidR="00A73191">
        <w:t>negocios tecnológicos o startups</w:t>
      </w:r>
      <w:r w:rsidR="006E5262">
        <w:t xml:space="preserve"> </w:t>
      </w:r>
      <w:r>
        <w:t xml:space="preserve">en los que aun cuando las partes no superen los umbrales de facturación, eventualmente la operación puede involucrar riesgos para la libre competencia. </w:t>
      </w:r>
    </w:p>
    <w:p w14:paraId="775477BC" w14:textId="77777777" w:rsidR="00615112" w:rsidRPr="005C302F" w:rsidRDefault="00615112" w:rsidP="00615112">
      <w:pPr>
        <w:pStyle w:val="Prrafodelista"/>
        <w:numPr>
          <w:ilvl w:val="0"/>
          <w:numId w:val="0"/>
        </w:numPr>
        <w:ind w:left="644"/>
        <w:rPr>
          <w:b/>
          <w:bCs/>
        </w:rPr>
      </w:pPr>
    </w:p>
    <w:p w14:paraId="5E9C2A69" w14:textId="56EAF0CA" w:rsidR="005B11A3" w:rsidRPr="005B11A3" w:rsidRDefault="00615112" w:rsidP="005B11A3">
      <w:pPr>
        <w:pStyle w:val="Prrafodelista"/>
        <w:numPr>
          <w:ilvl w:val="0"/>
          <w:numId w:val="20"/>
        </w:numPr>
        <w:rPr>
          <w:b/>
          <w:bCs/>
        </w:rPr>
      </w:pPr>
      <w:r>
        <w:t xml:space="preserve">En tales supuestos el régimen de notificación habilita a COPRODEC a realizar un análisis específico del caso y a requerir, de corresponder, la solicitud de autorización previa. </w:t>
      </w:r>
    </w:p>
    <w:p w14:paraId="364DB817" w14:textId="77777777" w:rsidR="005B11A3" w:rsidRPr="005B11A3" w:rsidRDefault="005B11A3" w:rsidP="005B11A3">
      <w:pPr>
        <w:rPr>
          <w:b/>
          <w:bCs/>
        </w:rPr>
      </w:pPr>
    </w:p>
    <w:p w14:paraId="765E8253" w14:textId="77777777" w:rsidR="00966075" w:rsidRPr="000B2C58" w:rsidRDefault="00966075" w:rsidP="001C6447">
      <w:pPr>
        <w:pStyle w:val="Ttulo1"/>
      </w:pPr>
      <w:bookmarkStart w:id="10" w:name="_Toc220936997"/>
      <w:r>
        <w:t>PROCEDIMIENTO</w:t>
      </w:r>
      <w:bookmarkEnd w:id="10"/>
    </w:p>
    <w:p w14:paraId="1AA08EF3" w14:textId="7FB31CD0" w:rsidR="00741F46" w:rsidRPr="00BE29B0" w:rsidRDefault="00741F46" w:rsidP="00907145">
      <w:pPr>
        <w:pStyle w:val="Prrafodelista"/>
        <w:numPr>
          <w:ilvl w:val="0"/>
          <w:numId w:val="20"/>
        </w:numPr>
        <w:rPr>
          <w:rFonts w:eastAsia="Times New Roman"/>
          <w:lang w:eastAsia="es-ES"/>
        </w:rPr>
      </w:pPr>
      <w:r w:rsidRPr="00BE29B0">
        <w:rPr>
          <w:rFonts w:eastAsia="Times New Roman"/>
          <w:iCs/>
          <w:lang w:val="es-UY" w:eastAsia="es-ES"/>
        </w:rPr>
        <w:t>La C</w:t>
      </w:r>
      <w:r w:rsidR="00387DE3">
        <w:rPr>
          <w:rFonts w:eastAsia="Times New Roman"/>
          <w:iCs/>
          <w:lang w:val="es-UY" w:eastAsia="es-ES"/>
        </w:rPr>
        <w:t xml:space="preserve">OPRODEC, </w:t>
      </w:r>
      <w:r w:rsidRPr="00BE29B0">
        <w:rPr>
          <w:rFonts w:eastAsia="Times New Roman"/>
          <w:iCs/>
          <w:lang w:val="es-UY" w:eastAsia="es-ES"/>
        </w:rPr>
        <w:t xml:space="preserve">por resolución fundada, debe decidir en un plazo máximo de </w:t>
      </w:r>
      <w:r w:rsidR="00387DE3" w:rsidRPr="001C41E4">
        <w:rPr>
          <w:rFonts w:eastAsia="Times New Roman"/>
          <w:b/>
          <w:iCs/>
          <w:lang w:val="es-UY" w:eastAsia="es-ES"/>
        </w:rPr>
        <w:t>treinta</w:t>
      </w:r>
      <w:r w:rsidRPr="001C41E4">
        <w:rPr>
          <w:rFonts w:eastAsia="Times New Roman"/>
          <w:b/>
          <w:iCs/>
          <w:lang w:val="es-UY" w:eastAsia="es-ES"/>
        </w:rPr>
        <w:t xml:space="preserve"> días corridos</w:t>
      </w:r>
      <w:r w:rsidR="00387DE3">
        <w:rPr>
          <w:rStyle w:val="Refdenotaalpie"/>
          <w:rFonts w:eastAsia="Times New Roman"/>
          <w:b/>
          <w:iCs/>
          <w:lang w:val="es-UY" w:eastAsia="es-ES"/>
        </w:rPr>
        <w:footnoteReference w:id="28"/>
      </w:r>
      <w:r w:rsidR="00387DE3" w:rsidRPr="001C41E4">
        <w:rPr>
          <w:rFonts w:eastAsia="Times New Roman"/>
          <w:b/>
          <w:iCs/>
          <w:lang w:val="es-UY" w:eastAsia="es-ES"/>
        </w:rPr>
        <w:t>:</w:t>
      </w:r>
      <w:r w:rsidRPr="00BE29B0">
        <w:rPr>
          <w:rFonts w:eastAsia="Times New Roman"/>
          <w:iCs/>
          <w:lang w:val="es-UY" w:eastAsia="es-ES"/>
        </w:rPr>
        <w:t xml:space="preserve">  </w:t>
      </w:r>
    </w:p>
    <w:p w14:paraId="65BD3D4D" w14:textId="42CC5F89" w:rsidR="00387DE3" w:rsidRPr="00BE29B0" w:rsidRDefault="00741F46" w:rsidP="00FC7586">
      <w:pPr>
        <w:spacing w:before="100" w:beforeAutospacing="1" w:after="100" w:afterAutospacing="1" w:line="360" w:lineRule="auto"/>
        <w:ind w:left="360" w:firstLine="360"/>
        <w:jc w:val="both"/>
        <w:rPr>
          <w:rFonts w:ascii="Arial" w:eastAsia="Times New Roman" w:hAnsi="Arial" w:cs="Arial"/>
          <w:sz w:val="24"/>
          <w:szCs w:val="24"/>
          <w:lang w:eastAsia="es-ES"/>
        </w:rPr>
      </w:pPr>
      <w:r w:rsidRPr="00BE29B0">
        <w:rPr>
          <w:rFonts w:ascii="Arial" w:eastAsia="Times New Roman" w:hAnsi="Arial" w:cs="Arial"/>
          <w:iCs/>
          <w:sz w:val="24"/>
          <w:szCs w:val="24"/>
          <w:lang w:val="es-UY" w:eastAsia="es-ES"/>
        </w:rPr>
        <w:t>A</w:t>
      </w:r>
      <w:r w:rsidR="00387DE3">
        <w:rPr>
          <w:rFonts w:ascii="Arial" w:eastAsia="Times New Roman" w:hAnsi="Arial" w:cs="Arial"/>
          <w:iCs/>
          <w:sz w:val="24"/>
          <w:szCs w:val="24"/>
          <w:lang w:val="es-UY" w:eastAsia="es-ES"/>
        </w:rPr>
        <w:t>)</w:t>
      </w:r>
      <w:r w:rsidR="00387DE3">
        <w:rPr>
          <w:rFonts w:ascii="Arial" w:eastAsia="Times New Roman" w:hAnsi="Arial" w:cs="Arial"/>
          <w:iCs/>
          <w:sz w:val="24"/>
          <w:szCs w:val="24"/>
          <w:lang w:val="es-UY" w:eastAsia="es-ES"/>
        </w:rPr>
        <w:tab/>
      </w:r>
      <w:r w:rsidRPr="00BE29B0">
        <w:rPr>
          <w:rFonts w:ascii="Arial" w:eastAsia="Times New Roman" w:hAnsi="Arial" w:cs="Arial"/>
          <w:iCs/>
          <w:sz w:val="24"/>
          <w:szCs w:val="24"/>
          <w:lang w:val="es-UY" w:eastAsia="es-ES"/>
        </w:rPr>
        <w:t>Autorizar la operación.</w:t>
      </w:r>
    </w:p>
    <w:p w14:paraId="2CA17D58" w14:textId="22690DA5" w:rsidR="00741F46" w:rsidRPr="00BE29B0" w:rsidRDefault="00741F46" w:rsidP="00FC7586">
      <w:pPr>
        <w:spacing w:before="100" w:beforeAutospacing="1" w:after="100" w:afterAutospacing="1" w:line="360" w:lineRule="auto"/>
        <w:ind w:left="1065" w:hanging="345"/>
        <w:jc w:val="both"/>
        <w:rPr>
          <w:rFonts w:ascii="Arial" w:eastAsia="Times New Roman" w:hAnsi="Arial" w:cs="Arial"/>
          <w:sz w:val="24"/>
          <w:szCs w:val="24"/>
          <w:lang w:eastAsia="es-ES"/>
        </w:rPr>
      </w:pPr>
      <w:r w:rsidRPr="00BE29B0">
        <w:rPr>
          <w:rFonts w:ascii="Arial" w:eastAsia="Times New Roman" w:hAnsi="Arial" w:cs="Arial"/>
          <w:iCs/>
          <w:sz w:val="24"/>
          <w:szCs w:val="24"/>
          <w:lang w:val="es-UY" w:eastAsia="es-ES"/>
        </w:rPr>
        <w:t>B</w:t>
      </w:r>
      <w:r w:rsidR="00387DE3">
        <w:rPr>
          <w:rFonts w:ascii="Arial" w:eastAsia="Times New Roman" w:hAnsi="Arial" w:cs="Arial"/>
          <w:iCs/>
          <w:sz w:val="24"/>
          <w:szCs w:val="24"/>
          <w:lang w:val="es-UY" w:eastAsia="es-ES"/>
        </w:rPr>
        <w:t>)</w:t>
      </w:r>
      <w:r w:rsidR="00387DE3">
        <w:rPr>
          <w:rFonts w:ascii="Arial" w:eastAsia="Times New Roman" w:hAnsi="Arial" w:cs="Arial"/>
          <w:iCs/>
          <w:sz w:val="24"/>
          <w:szCs w:val="24"/>
          <w:lang w:val="es-UY" w:eastAsia="es-ES"/>
        </w:rPr>
        <w:tab/>
      </w:r>
      <w:r w:rsidRPr="00BE29B0">
        <w:rPr>
          <w:rFonts w:ascii="Arial" w:eastAsia="Times New Roman" w:hAnsi="Arial" w:cs="Arial"/>
          <w:iCs/>
          <w:sz w:val="24"/>
          <w:szCs w:val="24"/>
          <w:lang w:val="es-UY" w:eastAsia="es-ES"/>
        </w:rPr>
        <w:t xml:space="preserve">Subordinar el acto de concentración al cumplimiento de las condiciones </w:t>
      </w:r>
      <w:r w:rsidR="00387DE3">
        <w:rPr>
          <w:rFonts w:ascii="Arial" w:eastAsia="Times New Roman" w:hAnsi="Arial" w:cs="Arial"/>
          <w:iCs/>
          <w:sz w:val="24"/>
          <w:szCs w:val="24"/>
          <w:lang w:val="es-UY" w:eastAsia="es-ES"/>
        </w:rPr>
        <w:t>que el órgano de aplicación establezca.</w:t>
      </w:r>
    </w:p>
    <w:p w14:paraId="4A525510" w14:textId="333D387A" w:rsidR="00741F46" w:rsidRPr="00BE29B0" w:rsidRDefault="00387DE3" w:rsidP="00FC7586">
      <w:pPr>
        <w:spacing w:before="100" w:beforeAutospacing="1" w:after="100" w:afterAutospacing="1" w:line="240" w:lineRule="auto"/>
        <w:ind w:left="360" w:firstLine="360"/>
        <w:jc w:val="both"/>
        <w:rPr>
          <w:rFonts w:ascii="Arial" w:eastAsia="Times New Roman" w:hAnsi="Arial" w:cs="Arial"/>
          <w:sz w:val="24"/>
          <w:szCs w:val="24"/>
          <w:lang w:eastAsia="es-ES"/>
        </w:rPr>
      </w:pPr>
      <w:r>
        <w:rPr>
          <w:rFonts w:ascii="Arial" w:eastAsia="Times New Roman" w:hAnsi="Arial" w:cs="Arial"/>
          <w:iCs/>
          <w:sz w:val="24"/>
          <w:szCs w:val="24"/>
          <w:lang w:val="es-UY" w:eastAsia="es-ES"/>
        </w:rPr>
        <w:t xml:space="preserve">C) </w:t>
      </w:r>
      <w:r w:rsidR="00741F46" w:rsidRPr="00BE29B0">
        <w:rPr>
          <w:rFonts w:ascii="Arial" w:eastAsia="Times New Roman" w:hAnsi="Arial" w:cs="Arial"/>
          <w:iCs/>
          <w:sz w:val="24"/>
          <w:szCs w:val="24"/>
          <w:lang w:val="es-UY" w:eastAsia="es-ES"/>
        </w:rPr>
        <w:t>Denegar la autorización.</w:t>
      </w:r>
    </w:p>
    <w:p w14:paraId="3F5349C9" w14:textId="37D5BF8A" w:rsidR="00387DE3" w:rsidRDefault="00387DE3" w:rsidP="00AF5BE0">
      <w:pPr>
        <w:autoSpaceDE w:val="0"/>
        <w:autoSpaceDN w:val="0"/>
        <w:adjustRightInd w:val="0"/>
        <w:spacing w:after="0" w:line="240" w:lineRule="auto"/>
        <w:rPr>
          <w:rFonts w:ascii="CourierNewPSMT" w:hAnsi="CourierNewPSMT" w:cs="CourierNewPSMT"/>
          <w:sz w:val="24"/>
          <w:szCs w:val="24"/>
        </w:rPr>
      </w:pPr>
    </w:p>
    <w:p w14:paraId="1B0D5675" w14:textId="7083AE73" w:rsidR="00387DE3" w:rsidRPr="001C41E4" w:rsidRDefault="002810FE" w:rsidP="00907145">
      <w:pPr>
        <w:pStyle w:val="Prrafodelista"/>
        <w:numPr>
          <w:ilvl w:val="0"/>
          <w:numId w:val="20"/>
        </w:numPr>
        <w:rPr>
          <w:rFonts w:eastAsia="Times New Roman"/>
          <w:lang w:eastAsia="es-ES"/>
        </w:rPr>
      </w:pPr>
      <w:r w:rsidRPr="001C41E4">
        <w:rPr>
          <w:rFonts w:eastAsia="Times New Roman"/>
          <w:b/>
          <w:iCs/>
          <w:u w:val="single"/>
          <w:lang w:val="es-UY" w:eastAsia="es-ES"/>
        </w:rPr>
        <w:t>Cómputo del plazo</w:t>
      </w:r>
      <w:r w:rsidR="00FC7586">
        <w:rPr>
          <w:rFonts w:eastAsia="Times New Roman"/>
          <w:b/>
          <w:iCs/>
          <w:u w:val="single"/>
          <w:lang w:val="es-UY" w:eastAsia="es-ES"/>
        </w:rPr>
        <w:t>.</w:t>
      </w:r>
      <w:r>
        <w:rPr>
          <w:rFonts w:eastAsia="Times New Roman"/>
          <w:iCs/>
          <w:lang w:val="es-UY" w:eastAsia="es-ES"/>
        </w:rPr>
        <w:t xml:space="preserve"> </w:t>
      </w:r>
      <w:r w:rsidR="00387DE3">
        <w:rPr>
          <w:rFonts w:eastAsia="Times New Roman"/>
          <w:iCs/>
          <w:lang w:val="es-UY" w:eastAsia="es-ES"/>
        </w:rPr>
        <w:t xml:space="preserve">El plazo se computa a partir de la fecha del acto administrativo que dispuso que la información y la documentación requerida para iniciar la evaluación de impacto, fue presentada en forma correcta y completa. </w:t>
      </w:r>
    </w:p>
    <w:p w14:paraId="51A6726F" w14:textId="77777777" w:rsidR="00B62CBD" w:rsidRPr="001C41E4" w:rsidRDefault="00B62CBD" w:rsidP="001C41E4">
      <w:pPr>
        <w:pStyle w:val="Prrafodelista"/>
        <w:numPr>
          <w:ilvl w:val="0"/>
          <w:numId w:val="0"/>
        </w:numPr>
        <w:ind w:left="720"/>
        <w:rPr>
          <w:rFonts w:eastAsia="Times New Roman"/>
          <w:lang w:eastAsia="es-ES"/>
        </w:rPr>
      </w:pPr>
    </w:p>
    <w:p w14:paraId="5534DD7E" w14:textId="06C862B3" w:rsidR="002810FE" w:rsidRPr="00BE29B0" w:rsidRDefault="002810FE" w:rsidP="00907145">
      <w:pPr>
        <w:pStyle w:val="Prrafodelista"/>
        <w:numPr>
          <w:ilvl w:val="0"/>
          <w:numId w:val="20"/>
        </w:numPr>
        <w:rPr>
          <w:rFonts w:eastAsia="Times New Roman"/>
          <w:lang w:eastAsia="es-ES"/>
        </w:rPr>
      </w:pPr>
      <w:r w:rsidRPr="001C41E4">
        <w:rPr>
          <w:rFonts w:eastAsia="Times New Roman"/>
          <w:b/>
          <w:u w:val="single"/>
          <w:lang w:eastAsia="es-ES"/>
        </w:rPr>
        <w:lastRenderedPageBreak/>
        <w:t>Prórrogas</w:t>
      </w:r>
      <w:r w:rsidR="00FC7586">
        <w:rPr>
          <w:rFonts w:eastAsia="Times New Roman"/>
          <w:b/>
          <w:u w:val="single"/>
          <w:lang w:eastAsia="es-ES"/>
        </w:rPr>
        <w:t>.</w:t>
      </w:r>
      <w:r w:rsidRPr="001C41E4">
        <w:rPr>
          <w:rFonts w:eastAsia="Times New Roman"/>
          <w:b/>
          <w:lang w:eastAsia="es-ES"/>
        </w:rPr>
        <w:t xml:space="preserve"> </w:t>
      </w:r>
      <w:r w:rsidR="00A652E1">
        <w:rPr>
          <w:rFonts w:eastAsia="Times New Roman"/>
          <w:lang w:eastAsia="es-ES"/>
        </w:rPr>
        <w:t>El</w:t>
      </w:r>
      <w:r>
        <w:rPr>
          <w:rFonts w:eastAsia="Times New Roman"/>
          <w:lang w:eastAsia="es-ES"/>
        </w:rPr>
        <w:t xml:space="preserve"> plazo sólo puede prorrogarse por un máximo de </w:t>
      </w:r>
      <w:r w:rsidRPr="001C41E4">
        <w:rPr>
          <w:rFonts w:eastAsia="Times New Roman"/>
          <w:b/>
          <w:lang w:eastAsia="es-ES"/>
        </w:rPr>
        <w:t xml:space="preserve">60 </w:t>
      </w:r>
      <w:r w:rsidR="00A652E1" w:rsidRPr="001C41E4">
        <w:rPr>
          <w:rFonts w:eastAsia="Times New Roman"/>
          <w:b/>
          <w:lang w:eastAsia="es-ES"/>
        </w:rPr>
        <w:t>días corridos adicionales</w:t>
      </w:r>
      <w:r w:rsidR="00A652E1">
        <w:rPr>
          <w:rFonts w:eastAsia="Times New Roman"/>
          <w:lang w:eastAsia="es-ES"/>
        </w:rPr>
        <w:t xml:space="preserve">, mediante resolución fundada de la COPRODEC adoptada con anterioridad a su vencimiento y en los siguientes casos: </w:t>
      </w:r>
    </w:p>
    <w:p w14:paraId="5BC75534" w14:textId="77777777" w:rsidR="00741F46" w:rsidRPr="00BE29B0" w:rsidRDefault="00741F46" w:rsidP="001C41E4">
      <w:pPr>
        <w:pStyle w:val="Prrafodelista"/>
        <w:numPr>
          <w:ilvl w:val="0"/>
          <w:numId w:val="18"/>
        </w:numPr>
        <w:spacing w:before="100" w:beforeAutospacing="1" w:after="100" w:afterAutospacing="1"/>
        <w:contextualSpacing w:val="0"/>
      </w:pPr>
      <w:r w:rsidRPr="00BE29B0">
        <w:rPr>
          <w:iCs/>
          <w:lang w:val="es-UY"/>
        </w:rPr>
        <w:t>Cuando sea necesario profundizar en el análisis y en la evaluación de impacto</w:t>
      </w:r>
    </w:p>
    <w:p w14:paraId="091C80CA" w14:textId="77777777" w:rsidR="00741F46" w:rsidRPr="00BE29B0" w:rsidRDefault="00741F46" w:rsidP="001C41E4">
      <w:pPr>
        <w:pStyle w:val="Prrafodelista"/>
        <w:numPr>
          <w:ilvl w:val="0"/>
          <w:numId w:val="18"/>
        </w:numPr>
        <w:spacing w:before="100" w:beforeAutospacing="1" w:after="100" w:afterAutospacing="1"/>
        <w:contextualSpacing w:val="0"/>
      </w:pPr>
      <w:r w:rsidRPr="00BE29B0">
        <w:rPr>
          <w:iCs/>
          <w:lang w:val="es-UY"/>
        </w:rPr>
        <w:t>Cuando les sea solicitada a las partes o a terceros la presentación de información adicional.</w:t>
      </w:r>
    </w:p>
    <w:p w14:paraId="25857125" w14:textId="2EA3A246" w:rsidR="00741F46" w:rsidRDefault="00741F46">
      <w:pPr>
        <w:pStyle w:val="Prrafodelista"/>
        <w:numPr>
          <w:ilvl w:val="0"/>
          <w:numId w:val="18"/>
        </w:numPr>
        <w:spacing w:before="100" w:beforeAutospacing="1" w:after="100" w:afterAutospacing="1"/>
        <w:contextualSpacing w:val="0"/>
        <w:rPr>
          <w:iCs/>
          <w:lang w:val="es-UY"/>
        </w:rPr>
      </w:pPr>
      <w:r w:rsidRPr="00BE29B0">
        <w:rPr>
          <w:iCs/>
          <w:lang w:val="es-UY"/>
        </w:rPr>
        <w:t xml:space="preserve">Cuando sea necesario evaluar posibles condicionamientos para mitigar los </w:t>
      </w:r>
      <w:r w:rsidR="002108C1">
        <w:rPr>
          <w:iCs/>
          <w:lang w:val="es-UY"/>
        </w:rPr>
        <w:t xml:space="preserve">eventuales efectos </w:t>
      </w:r>
      <w:r w:rsidRPr="00BE29B0">
        <w:rPr>
          <w:iCs/>
          <w:lang w:val="es-UY"/>
        </w:rPr>
        <w:t xml:space="preserve">adversos de la concentración económica sobre la competencia en los mercados. </w:t>
      </w:r>
    </w:p>
    <w:p w14:paraId="6770C817" w14:textId="147B0E08" w:rsidR="002108C1" w:rsidRPr="001C41E4" w:rsidRDefault="007F1115" w:rsidP="00907145">
      <w:pPr>
        <w:pStyle w:val="Prrafodelista"/>
        <w:numPr>
          <w:ilvl w:val="0"/>
          <w:numId w:val="20"/>
        </w:numPr>
        <w:spacing w:before="100" w:beforeAutospacing="1" w:after="100" w:afterAutospacing="1"/>
        <w:rPr>
          <w:b/>
          <w:iCs/>
          <w:lang w:val="es-UY"/>
        </w:rPr>
      </w:pPr>
      <w:r w:rsidRPr="001C41E4">
        <w:rPr>
          <w:b/>
          <w:iCs/>
          <w:u w:val="single"/>
          <w:lang w:val="es-UY"/>
        </w:rPr>
        <w:t>Suspensión del plazo por evaluación de condicionamientos</w:t>
      </w:r>
      <w:r w:rsidR="00FC7586">
        <w:rPr>
          <w:b/>
          <w:iCs/>
          <w:u w:val="single"/>
          <w:lang w:val="es-UY"/>
        </w:rPr>
        <w:t>.</w:t>
      </w:r>
      <w:r>
        <w:rPr>
          <w:b/>
          <w:iCs/>
          <w:lang w:val="es-UY"/>
        </w:rPr>
        <w:t xml:space="preserve"> </w:t>
      </w:r>
      <w:r>
        <w:rPr>
          <w:iCs/>
          <w:lang w:val="es-UY"/>
        </w:rPr>
        <w:t>Cuando se evalúen posibles condicionamientos</w:t>
      </w:r>
      <w:r w:rsidR="00B3185C">
        <w:rPr>
          <w:iCs/>
          <w:lang w:val="es-UY"/>
        </w:rPr>
        <w:t xml:space="preserve">, el plazo podrá suspenderse hasta por </w:t>
      </w:r>
      <w:r w:rsidR="00B3185C" w:rsidRPr="001C41E4">
        <w:rPr>
          <w:b/>
          <w:iCs/>
          <w:lang w:val="es-UY"/>
        </w:rPr>
        <w:t>60 días corridos adicionales</w:t>
      </w:r>
      <w:r w:rsidR="00B3185C">
        <w:rPr>
          <w:iCs/>
          <w:lang w:val="es-UY"/>
        </w:rPr>
        <w:t xml:space="preserve"> para analizar si dichos condicionamientos son suficientes y proporcionales.</w:t>
      </w:r>
    </w:p>
    <w:p w14:paraId="377AA122" w14:textId="77777777" w:rsidR="00F525C3" w:rsidRPr="001C41E4" w:rsidRDefault="00F525C3" w:rsidP="001C41E4">
      <w:pPr>
        <w:pStyle w:val="Prrafodelista"/>
        <w:numPr>
          <w:ilvl w:val="0"/>
          <w:numId w:val="0"/>
        </w:numPr>
        <w:spacing w:before="100" w:beforeAutospacing="1" w:after="100" w:afterAutospacing="1"/>
        <w:ind w:left="720"/>
        <w:rPr>
          <w:b/>
          <w:iCs/>
          <w:lang w:val="es-UY"/>
        </w:rPr>
      </w:pPr>
    </w:p>
    <w:p w14:paraId="0B524EEB" w14:textId="56951817" w:rsidR="00741F46" w:rsidRPr="001C41E4" w:rsidRDefault="00741F46" w:rsidP="00907145">
      <w:pPr>
        <w:pStyle w:val="Prrafodelista"/>
        <w:numPr>
          <w:ilvl w:val="0"/>
          <w:numId w:val="20"/>
        </w:numPr>
        <w:spacing w:before="100" w:beforeAutospacing="1" w:after="100" w:afterAutospacing="1"/>
        <w:rPr>
          <w:rFonts w:eastAsia="Times New Roman"/>
          <w:lang w:eastAsia="es-ES"/>
        </w:rPr>
      </w:pPr>
      <w:r w:rsidRPr="001C41E4">
        <w:rPr>
          <w:rFonts w:eastAsia="Times New Roman"/>
          <w:iCs/>
          <w:lang w:val="es-UY" w:eastAsia="es-ES"/>
        </w:rPr>
        <w:t xml:space="preserve">Si los compromisos ofrecidos no resultaren satisfactorios a juicio de </w:t>
      </w:r>
      <w:r w:rsidR="0078518E">
        <w:rPr>
          <w:rFonts w:eastAsia="Times New Roman"/>
          <w:iCs/>
          <w:lang w:val="es-UY" w:eastAsia="es-ES"/>
        </w:rPr>
        <w:t>COPRODEC</w:t>
      </w:r>
      <w:r w:rsidRPr="001C41E4">
        <w:rPr>
          <w:rFonts w:eastAsia="Times New Roman"/>
          <w:iCs/>
          <w:lang w:val="es-UY" w:eastAsia="es-ES"/>
        </w:rPr>
        <w:t>, la operación será rechazada. En caso contrario, se aprobará sujeta al cumplimiento de los compromisos aceptados.</w:t>
      </w:r>
    </w:p>
    <w:p w14:paraId="510C6396" w14:textId="77777777" w:rsidR="00F525C3" w:rsidRPr="001C41E4" w:rsidRDefault="00F525C3" w:rsidP="001C41E4">
      <w:pPr>
        <w:pStyle w:val="Prrafodelista"/>
        <w:numPr>
          <w:ilvl w:val="0"/>
          <w:numId w:val="0"/>
        </w:numPr>
        <w:spacing w:before="100" w:beforeAutospacing="1" w:after="100" w:afterAutospacing="1"/>
        <w:ind w:left="720"/>
        <w:rPr>
          <w:rFonts w:eastAsia="Times New Roman"/>
          <w:lang w:eastAsia="es-ES"/>
        </w:rPr>
      </w:pPr>
    </w:p>
    <w:p w14:paraId="6FAA42DE" w14:textId="507F1650" w:rsidR="00741F46" w:rsidRPr="001C41E4" w:rsidRDefault="000D0982" w:rsidP="00907145">
      <w:pPr>
        <w:pStyle w:val="Prrafodelista"/>
        <w:numPr>
          <w:ilvl w:val="0"/>
          <w:numId w:val="20"/>
        </w:numPr>
        <w:rPr>
          <w:lang w:eastAsia="es-ES"/>
        </w:rPr>
      </w:pPr>
      <w:r w:rsidRPr="001C41E4">
        <w:rPr>
          <w:rFonts w:eastAsia="Times New Roman"/>
          <w:b/>
          <w:u w:val="single"/>
          <w:lang w:eastAsia="es-ES"/>
        </w:rPr>
        <w:lastRenderedPageBreak/>
        <w:t xml:space="preserve">Autorización </w:t>
      </w:r>
      <w:r w:rsidRPr="001C41E4">
        <w:rPr>
          <w:rFonts w:eastAsia="Times New Roman"/>
          <w:b/>
          <w:i/>
          <w:u w:val="single"/>
          <w:lang w:eastAsia="es-ES"/>
        </w:rPr>
        <w:t>ex ante</w:t>
      </w:r>
      <w:r w:rsidR="00FC7586">
        <w:rPr>
          <w:rFonts w:eastAsia="Times New Roman"/>
          <w:b/>
          <w:i/>
          <w:u w:val="single"/>
          <w:lang w:eastAsia="es-ES"/>
        </w:rPr>
        <w:t>.</w:t>
      </w:r>
      <w:r w:rsidRPr="001C41E4">
        <w:rPr>
          <w:rFonts w:eastAsia="Times New Roman"/>
          <w:b/>
          <w:lang w:eastAsia="es-ES"/>
        </w:rPr>
        <w:t xml:space="preserve"> </w:t>
      </w:r>
      <w:r w:rsidR="00741F46" w:rsidRPr="001C41E4">
        <w:rPr>
          <w:lang w:val="es-UY" w:eastAsia="es-ES"/>
        </w:rPr>
        <w:t>La concentración económica no podrá perfeccionarse hasta que haya recaído la autorización del órgano de aplicación.</w:t>
      </w:r>
    </w:p>
    <w:p w14:paraId="5B299C0C" w14:textId="77777777" w:rsidR="0020728E" w:rsidRPr="001C41E4" w:rsidRDefault="0020728E" w:rsidP="001C41E4">
      <w:pPr>
        <w:pStyle w:val="Prrafodelista"/>
        <w:numPr>
          <w:ilvl w:val="0"/>
          <w:numId w:val="0"/>
        </w:numPr>
        <w:ind w:left="720"/>
        <w:rPr>
          <w:lang w:eastAsia="es-ES"/>
        </w:rPr>
      </w:pPr>
    </w:p>
    <w:p w14:paraId="3B99DADE" w14:textId="3687D820" w:rsidR="0020728E" w:rsidRPr="00F033FF" w:rsidRDefault="0020728E" w:rsidP="00907145">
      <w:pPr>
        <w:pStyle w:val="Prrafodelista"/>
        <w:numPr>
          <w:ilvl w:val="0"/>
          <w:numId w:val="20"/>
        </w:numPr>
        <w:rPr>
          <w:b/>
          <w:lang w:eastAsia="es-ES"/>
        </w:rPr>
      </w:pPr>
      <w:r w:rsidRPr="001C41E4">
        <w:rPr>
          <w:b/>
          <w:lang w:eastAsia="es-ES"/>
        </w:rPr>
        <w:t>Autorización expresa o tácita</w:t>
      </w:r>
      <w:r w:rsidR="00FC7586">
        <w:rPr>
          <w:b/>
          <w:lang w:eastAsia="es-ES"/>
        </w:rPr>
        <w:t>.</w:t>
      </w:r>
      <w:r>
        <w:rPr>
          <w:b/>
          <w:lang w:eastAsia="es-ES"/>
        </w:rPr>
        <w:t xml:space="preserve"> </w:t>
      </w:r>
      <w:r w:rsidR="00B2502F">
        <w:rPr>
          <w:bCs/>
          <w:lang w:eastAsia="es-ES"/>
        </w:rPr>
        <w:t xml:space="preserve">En caso de que COPRODEC no se expida en los plazos detallados en el presente apartado -mediante resolución expresa que autorice la operación, la subordine a condicionamientos o la </w:t>
      </w:r>
      <w:r w:rsidR="00C46C6A">
        <w:rPr>
          <w:bCs/>
          <w:lang w:eastAsia="es-ES"/>
        </w:rPr>
        <w:t>deni</w:t>
      </w:r>
      <w:r w:rsidR="00F033FF">
        <w:rPr>
          <w:bCs/>
          <w:lang w:eastAsia="es-ES"/>
        </w:rPr>
        <w:t>e</w:t>
      </w:r>
      <w:r w:rsidR="00C46C6A">
        <w:rPr>
          <w:bCs/>
          <w:lang w:eastAsia="es-ES"/>
        </w:rPr>
        <w:t>gue</w:t>
      </w:r>
      <w:r w:rsidR="00B2502F">
        <w:rPr>
          <w:bCs/>
          <w:lang w:eastAsia="es-ES"/>
        </w:rPr>
        <w:t>-, el acto de concentración económica se tendrá por autorizado en forma tácita</w:t>
      </w:r>
      <w:r w:rsidR="00617ECE">
        <w:rPr>
          <w:rStyle w:val="Refdenotaalpie"/>
          <w:bCs/>
          <w:lang w:eastAsia="es-ES"/>
        </w:rPr>
        <w:footnoteReference w:id="29"/>
      </w:r>
      <w:r w:rsidR="00B2502F">
        <w:rPr>
          <w:bCs/>
          <w:lang w:eastAsia="es-ES"/>
        </w:rPr>
        <w:t>.</w:t>
      </w:r>
    </w:p>
    <w:p w14:paraId="69406BFF" w14:textId="77777777" w:rsidR="00F033FF" w:rsidRPr="00D4780E" w:rsidRDefault="00F033FF" w:rsidP="00F033FF">
      <w:pPr>
        <w:pStyle w:val="Prrafodelista"/>
        <w:numPr>
          <w:ilvl w:val="0"/>
          <w:numId w:val="0"/>
        </w:numPr>
        <w:ind w:left="720"/>
        <w:rPr>
          <w:b/>
          <w:lang w:eastAsia="es-ES"/>
        </w:rPr>
      </w:pPr>
    </w:p>
    <w:p w14:paraId="0D1C4131" w14:textId="3BFCF2AE" w:rsidR="001E670A" w:rsidRPr="005B11A3" w:rsidRDefault="00A76E58" w:rsidP="00907145">
      <w:pPr>
        <w:pStyle w:val="Prrafodelista"/>
        <w:numPr>
          <w:ilvl w:val="0"/>
          <w:numId w:val="20"/>
        </w:numPr>
        <w:rPr>
          <w:b/>
          <w:lang w:eastAsia="es-ES"/>
        </w:rPr>
      </w:pPr>
      <w:r w:rsidRPr="00F033FF">
        <w:rPr>
          <w:b/>
          <w:u w:val="single"/>
          <w:lang w:eastAsia="es-ES"/>
        </w:rPr>
        <w:t>Información del cierre de la operación a</w:t>
      </w:r>
      <w:r w:rsidR="00DB0D7D" w:rsidRPr="00F033FF">
        <w:rPr>
          <w:b/>
          <w:u w:val="single"/>
          <w:lang w:eastAsia="es-ES"/>
        </w:rPr>
        <w:t>nte COPRODEC:</w:t>
      </w:r>
      <w:r w:rsidR="00DB0D7D">
        <w:rPr>
          <w:b/>
          <w:lang w:eastAsia="es-ES"/>
        </w:rPr>
        <w:t xml:space="preserve"> </w:t>
      </w:r>
      <w:r>
        <w:rPr>
          <w:bCs/>
          <w:lang w:eastAsia="es-ES"/>
        </w:rPr>
        <w:t>una vez conferida la autorización por parte de</w:t>
      </w:r>
      <w:r w:rsidR="00DB0D7D">
        <w:rPr>
          <w:bCs/>
          <w:lang w:eastAsia="es-ES"/>
        </w:rPr>
        <w:t xml:space="preserve"> la</w:t>
      </w:r>
      <w:r>
        <w:rPr>
          <w:bCs/>
          <w:lang w:eastAsia="es-ES"/>
        </w:rPr>
        <w:t xml:space="preserve"> COPRODEC</w:t>
      </w:r>
      <w:r w:rsidR="00DB0D7D">
        <w:rPr>
          <w:bCs/>
          <w:lang w:eastAsia="es-ES"/>
        </w:rPr>
        <w:t xml:space="preserve">, los participantes deberán informar el cierre de la operación dentro del plazo de diez días hábiles contados desde su efectiva concreción. </w:t>
      </w:r>
    </w:p>
    <w:p w14:paraId="26DB516E" w14:textId="77777777" w:rsidR="005B11A3" w:rsidRPr="005B11A3" w:rsidRDefault="005B11A3" w:rsidP="005B11A3">
      <w:pPr>
        <w:pStyle w:val="Prrafodelista"/>
        <w:numPr>
          <w:ilvl w:val="0"/>
          <w:numId w:val="0"/>
        </w:numPr>
        <w:ind w:left="644"/>
        <w:rPr>
          <w:b/>
          <w:lang w:eastAsia="es-ES"/>
        </w:rPr>
      </w:pPr>
    </w:p>
    <w:p w14:paraId="71F6DF24" w14:textId="77777777" w:rsidR="005B11A3" w:rsidRPr="001C41E4" w:rsidRDefault="005B11A3" w:rsidP="005B11A3">
      <w:pPr>
        <w:pStyle w:val="Prrafodelista"/>
        <w:numPr>
          <w:ilvl w:val="0"/>
          <w:numId w:val="0"/>
        </w:numPr>
        <w:ind w:left="720"/>
        <w:rPr>
          <w:b/>
          <w:lang w:eastAsia="es-ES"/>
        </w:rPr>
      </w:pPr>
    </w:p>
    <w:p w14:paraId="739A6E39" w14:textId="7AAB025B" w:rsidR="005B11A3" w:rsidRDefault="00EC7E12" w:rsidP="005B11A3">
      <w:pPr>
        <w:pStyle w:val="Ttulo1"/>
      </w:pPr>
      <w:bookmarkStart w:id="11" w:name="_Toc220936998"/>
      <w:r>
        <w:t>SANCIONES</w:t>
      </w:r>
      <w:bookmarkEnd w:id="11"/>
    </w:p>
    <w:p w14:paraId="0D865698" w14:textId="77777777" w:rsidR="005B11A3" w:rsidRPr="005B11A3" w:rsidRDefault="005B11A3" w:rsidP="005B11A3"/>
    <w:p w14:paraId="4F19FA5D" w14:textId="6872FBA1" w:rsidR="006A5F11" w:rsidRDefault="006A344E" w:rsidP="00907145">
      <w:pPr>
        <w:pStyle w:val="Prrafodelista"/>
        <w:numPr>
          <w:ilvl w:val="0"/>
          <w:numId w:val="20"/>
        </w:numPr>
        <w:shd w:val="clear" w:color="auto" w:fill="FFFFFF"/>
        <w:spacing w:after="150"/>
      </w:pPr>
      <w:r>
        <w:t xml:space="preserve">Los actos jurídicos realizados sin </w:t>
      </w:r>
      <w:r w:rsidR="0020728E">
        <w:t xml:space="preserve">la </w:t>
      </w:r>
      <w:r>
        <w:t xml:space="preserve">autorización previa de </w:t>
      </w:r>
      <w:r w:rsidR="0020728E">
        <w:t xml:space="preserve">la </w:t>
      </w:r>
      <w:r>
        <w:t>COPRODEC</w:t>
      </w:r>
      <w:r w:rsidR="0020728E">
        <w:t>,</w:t>
      </w:r>
      <w:r>
        <w:t xml:space="preserve"> cuando ésta </w:t>
      </w:r>
      <w:r w:rsidR="0020728E">
        <w:t>r</w:t>
      </w:r>
      <w:r>
        <w:t>es</w:t>
      </w:r>
      <w:r w:rsidR="0020728E">
        <w:t>ulte</w:t>
      </w:r>
      <w:r>
        <w:t xml:space="preserve"> exigible, no producen efectos jurídicos, </w:t>
      </w:r>
      <w:r w:rsidR="0020728E">
        <w:t xml:space="preserve">sin perjuicio de las sanciones que COPRODEC pueda imponer </w:t>
      </w:r>
      <w:r w:rsidR="0020728E">
        <w:lastRenderedPageBreak/>
        <w:t xml:space="preserve">de conformidad con lo dispuesto en los artículos 17 y 19 del Decreto No. 404/007. </w:t>
      </w:r>
    </w:p>
    <w:p w14:paraId="63571756" w14:textId="77777777" w:rsidR="0020728E" w:rsidRPr="00B2502F" w:rsidRDefault="0020728E" w:rsidP="001C41E4">
      <w:pPr>
        <w:pStyle w:val="Prrafodelista"/>
        <w:numPr>
          <w:ilvl w:val="0"/>
          <w:numId w:val="0"/>
        </w:numPr>
        <w:shd w:val="clear" w:color="auto" w:fill="FFFFFF"/>
        <w:spacing w:after="150"/>
        <w:ind w:left="360"/>
      </w:pPr>
    </w:p>
    <w:p w14:paraId="5DD34FE7" w14:textId="12775462" w:rsidR="00C82D4A" w:rsidRPr="001C41E4" w:rsidRDefault="00D22B9D" w:rsidP="00907145">
      <w:pPr>
        <w:pStyle w:val="Prrafodelista"/>
        <w:numPr>
          <w:ilvl w:val="0"/>
          <w:numId w:val="20"/>
        </w:numPr>
        <w:shd w:val="clear" w:color="auto" w:fill="FFFFFF"/>
        <w:spacing w:after="150"/>
        <w:rPr>
          <w:lang w:val="es-ES" w:eastAsia="es-ES"/>
        </w:rPr>
      </w:pPr>
      <w:r w:rsidRPr="001C41E4">
        <w:rPr>
          <w:lang w:eastAsia="es-ES"/>
        </w:rPr>
        <w:t xml:space="preserve">COPRODEC </w:t>
      </w:r>
      <w:r w:rsidR="006A5F11" w:rsidRPr="001C41E4">
        <w:rPr>
          <w:lang w:eastAsia="es-ES"/>
        </w:rPr>
        <w:t>está facultado a imponer sanciones en los siguientes casos</w:t>
      </w:r>
      <w:r w:rsidR="00C82D4A">
        <w:rPr>
          <w:rStyle w:val="Refdenotaalpie"/>
          <w:lang w:val="es-ES" w:eastAsia="es-ES"/>
        </w:rPr>
        <w:footnoteReference w:id="30"/>
      </w:r>
      <w:r w:rsidR="006A5F11" w:rsidRPr="001C41E4">
        <w:rPr>
          <w:lang w:eastAsia="es-ES"/>
        </w:rPr>
        <w:t xml:space="preserve">: </w:t>
      </w:r>
    </w:p>
    <w:p w14:paraId="0676026A" w14:textId="06ECE8BB" w:rsidR="00EC7E12" w:rsidRDefault="00CF0DF8" w:rsidP="00CF0DF8">
      <w:pPr>
        <w:pStyle w:val="Prrafodelista"/>
        <w:numPr>
          <w:ilvl w:val="0"/>
          <w:numId w:val="29"/>
        </w:numPr>
        <w:shd w:val="clear" w:color="auto" w:fill="FFFFFF"/>
        <w:spacing w:after="150"/>
        <w:rPr>
          <w:lang w:val="es-ES" w:eastAsia="es-ES"/>
        </w:rPr>
      </w:pPr>
      <w:r w:rsidRPr="001C41E4">
        <w:rPr>
          <w:b/>
          <w:lang w:val="es-ES" w:eastAsia="es-ES"/>
        </w:rPr>
        <w:t>Si el acto de concentración económica no se comunica en tiempo y forma</w:t>
      </w:r>
      <w:r>
        <w:rPr>
          <w:lang w:val="es-ES" w:eastAsia="es-ES"/>
        </w:rPr>
        <w:t>, lo que incluye,</w:t>
      </w:r>
      <w:r w:rsidR="00E463D7">
        <w:rPr>
          <w:lang w:val="es-ES" w:eastAsia="es-ES"/>
        </w:rPr>
        <w:t xml:space="preserve"> entre otros,</w:t>
      </w:r>
      <w:r>
        <w:rPr>
          <w:lang w:val="es-ES" w:eastAsia="es-ES"/>
        </w:rPr>
        <w:t xml:space="preserve"> los supuestos en que se aporte información </w:t>
      </w:r>
      <w:r w:rsidR="00714CDB">
        <w:rPr>
          <w:lang w:val="es-ES" w:eastAsia="es-ES"/>
        </w:rPr>
        <w:t>falsa o incompleta de manera deliberada, es decir, se omita información que la parte conocía o razonablemente debía conocer y proporcionar</w:t>
      </w:r>
      <w:r w:rsidR="00AD241B">
        <w:rPr>
          <w:lang w:val="es-ES" w:eastAsia="es-ES"/>
        </w:rPr>
        <w:t>;</w:t>
      </w:r>
      <w:r w:rsidR="00714CDB">
        <w:rPr>
          <w:lang w:val="es-ES" w:eastAsia="es-ES"/>
        </w:rPr>
        <w:t xml:space="preserve"> así como aquellos casos en que no se solicite la autorización correspondiente y la operación se ejecute igualmente, o </w:t>
      </w:r>
      <w:r w:rsidR="001B1736">
        <w:rPr>
          <w:lang w:val="es-ES" w:eastAsia="es-ES"/>
        </w:rPr>
        <w:t xml:space="preserve">en que, </w:t>
      </w:r>
      <w:r w:rsidR="00667225">
        <w:rPr>
          <w:lang w:val="es-ES" w:eastAsia="es-ES"/>
        </w:rPr>
        <w:t>aun</w:t>
      </w:r>
      <w:r w:rsidR="001B1736">
        <w:rPr>
          <w:lang w:val="es-ES" w:eastAsia="es-ES"/>
        </w:rPr>
        <w:t xml:space="preserve"> habiéndose solicitado </w:t>
      </w:r>
      <w:r w:rsidR="00667225">
        <w:rPr>
          <w:lang w:val="es-ES" w:eastAsia="es-ES"/>
        </w:rPr>
        <w:t xml:space="preserve">la operación se ejecute </w:t>
      </w:r>
      <w:r w:rsidR="00714CDB">
        <w:rPr>
          <w:lang w:val="es-ES" w:eastAsia="es-ES"/>
        </w:rPr>
        <w:t xml:space="preserve">mientras el trámite se encuentra pendiente de resolución ante </w:t>
      </w:r>
      <w:r w:rsidR="00667225">
        <w:rPr>
          <w:lang w:val="es-ES" w:eastAsia="es-ES"/>
        </w:rPr>
        <w:t xml:space="preserve">la </w:t>
      </w:r>
      <w:r w:rsidR="00714CDB">
        <w:rPr>
          <w:lang w:val="es-ES" w:eastAsia="es-ES"/>
        </w:rPr>
        <w:t xml:space="preserve">COPRODEC; </w:t>
      </w:r>
      <w:bookmarkStart w:id="12" w:name="45"/>
      <w:bookmarkEnd w:id="12"/>
    </w:p>
    <w:p w14:paraId="64245645" w14:textId="77777777" w:rsidR="00714CDB" w:rsidRDefault="00714CDB" w:rsidP="00CF0DF8">
      <w:pPr>
        <w:pStyle w:val="Prrafodelista"/>
        <w:numPr>
          <w:ilvl w:val="0"/>
          <w:numId w:val="29"/>
        </w:numPr>
        <w:shd w:val="clear" w:color="auto" w:fill="FFFFFF"/>
        <w:spacing w:after="150"/>
        <w:rPr>
          <w:lang w:val="es-ES" w:eastAsia="es-ES"/>
        </w:rPr>
      </w:pPr>
      <w:r w:rsidRPr="001C41E4">
        <w:rPr>
          <w:b/>
          <w:lang w:val="es-ES" w:eastAsia="es-ES"/>
        </w:rPr>
        <w:t>Por haber incumplido las condiciones fijadas en la resolución de concentración</w:t>
      </w:r>
      <w:r>
        <w:rPr>
          <w:lang w:val="es-ES" w:eastAsia="es-ES"/>
        </w:rPr>
        <w:t>;</w:t>
      </w:r>
    </w:p>
    <w:p w14:paraId="42B27CB9" w14:textId="34FF5E3E" w:rsidR="00671239" w:rsidRPr="005B11A3" w:rsidRDefault="00714CDB" w:rsidP="005B11A3">
      <w:pPr>
        <w:pStyle w:val="Prrafodelista"/>
        <w:numPr>
          <w:ilvl w:val="0"/>
          <w:numId w:val="29"/>
        </w:numPr>
        <w:shd w:val="clear" w:color="auto" w:fill="FFFFFF"/>
        <w:spacing w:after="150"/>
        <w:rPr>
          <w:lang w:val="es-ES" w:eastAsia="es-ES"/>
        </w:rPr>
      </w:pPr>
      <w:r>
        <w:rPr>
          <w:b/>
          <w:lang w:val="es-ES" w:eastAsia="es-ES"/>
        </w:rPr>
        <w:t xml:space="preserve">Si la concentración no se autoriza e igualmente se lleva a cabo el negocio </w:t>
      </w:r>
      <w:r>
        <w:rPr>
          <w:lang w:val="es-ES" w:eastAsia="es-ES"/>
        </w:rPr>
        <w:t xml:space="preserve"> </w:t>
      </w:r>
    </w:p>
    <w:p w14:paraId="237901A0" w14:textId="74400CD9" w:rsidR="00671239" w:rsidRDefault="00671239" w:rsidP="00980663">
      <w:pPr>
        <w:shd w:val="clear" w:color="auto" w:fill="FFFFFF"/>
        <w:spacing w:after="150"/>
        <w:ind w:left="644" w:hanging="360"/>
      </w:pPr>
    </w:p>
    <w:p w14:paraId="5839C3BC" w14:textId="3B16FA82" w:rsidR="00671239" w:rsidRDefault="00671239" w:rsidP="00980663">
      <w:pPr>
        <w:shd w:val="clear" w:color="auto" w:fill="FFFFFF"/>
        <w:spacing w:after="150"/>
        <w:ind w:left="644" w:hanging="360"/>
      </w:pPr>
    </w:p>
    <w:p w14:paraId="23FA297F" w14:textId="4CA9B899" w:rsidR="00671239" w:rsidRDefault="00671239" w:rsidP="005B11A3">
      <w:pPr>
        <w:pStyle w:val="Ttulo1"/>
        <w:jc w:val="center"/>
        <w:rPr>
          <w:sz w:val="32"/>
        </w:rPr>
      </w:pPr>
      <w:bookmarkStart w:id="13" w:name="_Toc220936999"/>
      <w:r w:rsidRPr="005B11A3">
        <w:rPr>
          <w:sz w:val="32"/>
        </w:rPr>
        <w:lastRenderedPageBreak/>
        <w:t>ANEXO</w:t>
      </w:r>
      <w:bookmarkEnd w:id="13"/>
    </w:p>
    <w:p w14:paraId="261B9B14" w14:textId="77777777" w:rsidR="005B11A3" w:rsidRPr="005B11A3" w:rsidRDefault="005B11A3" w:rsidP="005B11A3"/>
    <w:p w14:paraId="4F16B4D8" w14:textId="77777777" w:rsidR="00671239" w:rsidRPr="005B11A3" w:rsidRDefault="00671239" w:rsidP="00671239">
      <w:pPr>
        <w:spacing w:line="360" w:lineRule="auto"/>
        <w:jc w:val="center"/>
        <w:rPr>
          <w:rFonts w:ascii="Arial" w:hAnsi="Arial" w:cs="Arial"/>
          <w:b/>
          <w:bCs/>
        </w:rPr>
      </w:pPr>
      <w:r w:rsidRPr="005B11A3">
        <w:rPr>
          <w:rFonts w:ascii="Arial" w:hAnsi="Arial" w:cs="Arial"/>
          <w:b/>
          <w:bCs/>
        </w:rPr>
        <w:t>INSTRUCTIVO PARA COMPLETAR LOS FORMULARIOS DE NOTIFICACIÓN Y SOLICITUD DE AUTORIZACIÓN DE OPERACIÓN DE CONCENTRACIÓN ECONÓMICA ANTE COPRODEC</w:t>
      </w:r>
    </w:p>
    <w:p w14:paraId="352495CA" w14:textId="77777777" w:rsidR="00671239" w:rsidRPr="005B11A3" w:rsidRDefault="00671239" w:rsidP="00671239">
      <w:pPr>
        <w:pStyle w:val="Prrafodelista"/>
        <w:numPr>
          <w:ilvl w:val="0"/>
          <w:numId w:val="42"/>
        </w:numPr>
        <w:rPr>
          <w:b/>
          <w:bCs/>
          <w:u w:val="single"/>
        </w:rPr>
      </w:pPr>
      <w:r w:rsidRPr="005B11A3">
        <w:rPr>
          <w:b/>
          <w:bCs/>
          <w:u w:val="single"/>
        </w:rPr>
        <w:t>FORMALIDADES</w:t>
      </w:r>
    </w:p>
    <w:p w14:paraId="57933F9F" w14:textId="77777777" w:rsidR="00671239" w:rsidRPr="005B11A3" w:rsidRDefault="00671239" w:rsidP="00671239">
      <w:pPr>
        <w:pStyle w:val="Prrafodelista"/>
        <w:rPr>
          <w:b/>
          <w:bCs/>
        </w:rPr>
      </w:pPr>
    </w:p>
    <w:p w14:paraId="46FC9D6A" w14:textId="77777777" w:rsidR="00671239" w:rsidRPr="005B11A3" w:rsidRDefault="00671239" w:rsidP="00671239">
      <w:pPr>
        <w:pStyle w:val="Prrafodelista"/>
        <w:numPr>
          <w:ilvl w:val="1"/>
          <w:numId w:val="42"/>
        </w:numPr>
      </w:pPr>
      <w:r w:rsidRPr="005B11A3">
        <w:t>La información</w:t>
      </w:r>
      <w:r w:rsidRPr="005B11A3">
        <w:rPr>
          <w:b/>
          <w:bCs/>
        </w:rPr>
        <w:t xml:space="preserve"> </w:t>
      </w:r>
      <w:r w:rsidRPr="005B11A3">
        <w:t xml:space="preserve">proporcionada por los participantes de la operación en el Formulario debe ser completa y veraz, siguiendo el formato y orden de la numeración indicada en idioma español, teniendo presente su carácter de Declaración Jurada. </w:t>
      </w:r>
    </w:p>
    <w:p w14:paraId="642FBF80" w14:textId="77777777" w:rsidR="00671239" w:rsidRPr="005B11A3" w:rsidRDefault="00671239" w:rsidP="00671239">
      <w:pPr>
        <w:pStyle w:val="Prrafodelista"/>
        <w:numPr>
          <w:ilvl w:val="1"/>
          <w:numId w:val="42"/>
        </w:numPr>
      </w:pPr>
      <w:r w:rsidRPr="005B11A3">
        <w:t xml:space="preserve">Los participantes deberán presentar la información en formato digital, debiendo ser remitida de manera que permita su revisión mediante la utilización de criterios de búsqueda: </w:t>
      </w:r>
    </w:p>
    <w:p w14:paraId="16D28318" w14:textId="77777777" w:rsidR="00671239" w:rsidRPr="005B11A3" w:rsidRDefault="00671239" w:rsidP="00671239">
      <w:pPr>
        <w:pStyle w:val="Prrafodelista"/>
        <w:numPr>
          <w:ilvl w:val="0"/>
          <w:numId w:val="43"/>
        </w:numPr>
      </w:pPr>
      <w:r w:rsidRPr="005B11A3">
        <w:rPr>
          <w:u w:val="single"/>
        </w:rPr>
        <w:t xml:space="preserve">en caso de ser cualitativa, </w:t>
      </w:r>
      <w:r w:rsidRPr="005B11A3">
        <w:t xml:space="preserve">en formato estándar compatible con Word, Adobe Acrobat o similar; </w:t>
      </w:r>
    </w:p>
    <w:p w14:paraId="24FBF148" w14:textId="77777777" w:rsidR="00671239" w:rsidRPr="005B11A3" w:rsidRDefault="00671239" w:rsidP="00671239">
      <w:pPr>
        <w:pStyle w:val="Prrafodelista"/>
        <w:numPr>
          <w:ilvl w:val="0"/>
          <w:numId w:val="43"/>
        </w:numPr>
      </w:pPr>
      <w:r w:rsidRPr="005B11A3">
        <w:rPr>
          <w:u w:val="single"/>
        </w:rPr>
        <w:t>en caso de ser cuantitativa,</w:t>
      </w:r>
      <w:r w:rsidRPr="005B11A3">
        <w:t xml:space="preserve"> en formato de planillas de cálculo estándar Microsoft Excel u otros análogos.</w:t>
      </w:r>
    </w:p>
    <w:p w14:paraId="70642E85" w14:textId="77777777" w:rsidR="00671239" w:rsidRPr="005B11A3" w:rsidRDefault="00671239" w:rsidP="00671239">
      <w:pPr>
        <w:pStyle w:val="Prrafodelista"/>
        <w:numPr>
          <w:ilvl w:val="1"/>
          <w:numId w:val="42"/>
        </w:numPr>
      </w:pPr>
      <w:r w:rsidRPr="005B11A3">
        <w:t>La documentación acreditante que se presente incluye la individualizada en el numeral 7 del Formulario, en original o copia fiel del original, de manera íntegra. En caso de que esté redactada en idioma extranjero, deberá presentarse en su idioma de origen, acompañada de su respectiva traducción al idioma español.</w:t>
      </w:r>
    </w:p>
    <w:p w14:paraId="4E599C93" w14:textId="77777777" w:rsidR="00671239" w:rsidRPr="005B11A3" w:rsidRDefault="00671239" w:rsidP="00673D18">
      <w:pPr>
        <w:pStyle w:val="Prrafodelista"/>
        <w:numPr>
          <w:ilvl w:val="0"/>
          <w:numId w:val="0"/>
        </w:numPr>
        <w:ind w:left="1080"/>
      </w:pPr>
    </w:p>
    <w:p w14:paraId="5ED8A1C5" w14:textId="77777777" w:rsidR="00671239" w:rsidRPr="005B11A3" w:rsidRDefault="00671239" w:rsidP="00671239">
      <w:pPr>
        <w:pStyle w:val="Prrafodelista"/>
        <w:numPr>
          <w:ilvl w:val="0"/>
          <w:numId w:val="42"/>
        </w:numPr>
        <w:rPr>
          <w:b/>
          <w:bCs/>
          <w:u w:val="single"/>
        </w:rPr>
      </w:pPr>
      <w:r w:rsidRPr="005B11A3">
        <w:rPr>
          <w:b/>
          <w:bCs/>
          <w:u w:val="single"/>
        </w:rPr>
        <w:t>CONFIDENCIALIDAD</w:t>
      </w:r>
    </w:p>
    <w:p w14:paraId="37C2F1C3" w14:textId="77777777" w:rsidR="00671239" w:rsidRPr="005B11A3" w:rsidRDefault="00671239" w:rsidP="00671239">
      <w:pPr>
        <w:pStyle w:val="Prrafodelista"/>
        <w:numPr>
          <w:ilvl w:val="1"/>
          <w:numId w:val="42"/>
        </w:numPr>
      </w:pPr>
      <w:r w:rsidRPr="005B11A3">
        <w:t xml:space="preserve">La Ley de Acceso a la Información Pública No. 18.381 tiene por objeto </w:t>
      </w:r>
      <w:r w:rsidRPr="005B11A3">
        <w:rPr>
          <w:i/>
        </w:rPr>
        <w:t>“promover la transparencia de la función administrativa de todo organismo público, sea o no estatal, y garantizar el derecho fundamental de las personas al acceso a la información pública”</w:t>
      </w:r>
      <w:r w:rsidRPr="005B11A3">
        <w:rPr>
          <w:rStyle w:val="Refdenotaalpie"/>
        </w:rPr>
        <w:footnoteReference w:id="31"/>
      </w:r>
      <w:r w:rsidRPr="005B11A3">
        <w:t xml:space="preserve">. </w:t>
      </w:r>
    </w:p>
    <w:p w14:paraId="4CC18E98" w14:textId="77777777" w:rsidR="00671239" w:rsidRPr="005B11A3" w:rsidRDefault="00671239" w:rsidP="00792E7C">
      <w:pPr>
        <w:pStyle w:val="Prrafodelista"/>
        <w:numPr>
          <w:ilvl w:val="0"/>
          <w:numId w:val="0"/>
        </w:numPr>
        <w:ind w:left="1080"/>
      </w:pPr>
    </w:p>
    <w:p w14:paraId="3888455F" w14:textId="77777777" w:rsidR="00671239" w:rsidRPr="005B11A3" w:rsidRDefault="00671239" w:rsidP="00671239">
      <w:pPr>
        <w:pStyle w:val="Prrafodelista"/>
        <w:numPr>
          <w:ilvl w:val="1"/>
          <w:numId w:val="42"/>
        </w:numPr>
      </w:pPr>
      <w:r w:rsidRPr="005B11A3">
        <w:t xml:space="preserve">A tales efectos, considera “información pública” a toda aquella que emane o se encuentre en posesión de cualquier organismo público, sea o no estatal, con excepción de los casos expresamente previstos por la ley, esto es, la información reservada o confidencial. </w:t>
      </w:r>
    </w:p>
    <w:p w14:paraId="5EDA136B" w14:textId="77777777" w:rsidR="00671239" w:rsidRPr="005B11A3" w:rsidRDefault="00671239" w:rsidP="00792E7C">
      <w:pPr>
        <w:pStyle w:val="Prrafodelista"/>
        <w:numPr>
          <w:ilvl w:val="0"/>
          <w:numId w:val="0"/>
        </w:numPr>
        <w:ind w:left="644"/>
      </w:pPr>
    </w:p>
    <w:p w14:paraId="6F27DBC4" w14:textId="77777777" w:rsidR="00671239" w:rsidRPr="005B11A3" w:rsidRDefault="00671239" w:rsidP="00671239">
      <w:pPr>
        <w:pStyle w:val="Prrafodelista"/>
        <w:numPr>
          <w:ilvl w:val="1"/>
          <w:numId w:val="42"/>
        </w:numPr>
      </w:pPr>
      <w:r w:rsidRPr="005B11A3">
        <w:t xml:space="preserve">En este sentido, esta normativa constituye una manifestación del principio de transparencia, en virtud del cual la Administración Pública debe actuar de manera clara, accesible y fundada, permitiendo a las personas conocer cómo, por qué y con qué fundamentos se adoptan las decisiones administrativas, siendo la publicidad la regla y, la reserva o confidencialidad la excepción. </w:t>
      </w:r>
    </w:p>
    <w:p w14:paraId="6726DD9F" w14:textId="77777777" w:rsidR="00671239" w:rsidRPr="005B11A3" w:rsidRDefault="00671239" w:rsidP="00792E7C">
      <w:pPr>
        <w:pStyle w:val="Prrafodelista"/>
        <w:numPr>
          <w:ilvl w:val="0"/>
          <w:numId w:val="0"/>
        </w:numPr>
        <w:ind w:left="644"/>
        <w:rPr>
          <w:u w:val="single"/>
        </w:rPr>
      </w:pPr>
    </w:p>
    <w:p w14:paraId="5910FA7F" w14:textId="77777777" w:rsidR="00671239" w:rsidRPr="005B11A3" w:rsidRDefault="00671239" w:rsidP="00671239">
      <w:pPr>
        <w:pStyle w:val="Prrafodelista"/>
        <w:numPr>
          <w:ilvl w:val="1"/>
          <w:numId w:val="42"/>
        </w:numPr>
      </w:pPr>
      <w:r w:rsidRPr="005B11A3">
        <w:lastRenderedPageBreak/>
        <w:t>Asimismo, el artículo 10 de la Ley No. 18.381 establece que se considera información confidencial: “</w:t>
      </w:r>
      <w:r w:rsidRPr="005B11A3">
        <w:rPr>
          <w:i/>
        </w:rPr>
        <w:t>I) Aquella entregada en tal carácter a los sujetos obligados</w:t>
      </w:r>
      <w:r w:rsidRPr="005B11A3">
        <w:t xml:space="preserve"> </w:t>
      </w:r>
      <w:r w:rsidRPr="005B11A3">
        <w:rPr>
          <w:i/>
        </w:rPr>
        <w:t xml:space="preserve">siempre que: A) Refiera al patrimonio de una persona; B) Comprenda hechos o actos de carácter económico, contable, jurídico o administrativo, relativos a una persona física o jurídica, que pudieran ser útil para un competidor; C) Esté amparada por una cláusula contractual de confidencialidad. II) Los datos personales que requieren el previo consentimiento informado”. </w:t>
      </w:r>
      <w:r w:rsidRPr="005B11A3">
        <w:t xml:space="preserve">Y, específicamente dispone que: </w:t>
      </w:r>
      <w:r w:rsidRPr="005B11A3">
        <w:rPr>
          <w:i/>
        </w:rPr>
        <w:t>“Tendrán el mismo carácter los documentos o secciones de documentos que contengan estos datos”.</w:t>
      </w:r>
    </w:p>
    <w:p w14:paraId="7B66BCE4" w14:textId="77777777" w:rsidR="00671239" w:rsidRPr="005B11A3" w:rsidRDefault="00671239" w:rsidP="00792E7C">
      <w:pPr>
        <w:pStyle w:val="Prrafodelista"/>
        <w:numPr>
          <w:ilvl w:val="0"/>
          <w:numId w:val="0"/>
        </w:numPr>
        <w:ind w:left="644"/>
        <w:rPr>
          <w:u w:val="single"/>
        </w:rPr>
      </w:pPr>
    </w:p>
    <w:p w14:paraId="2F69601B" w14:textId="77777777" w:rsidR="00671239" w:rsidRPr="005B11A3" w:rsidRDefault="00671239" w:rsidP="00671239">
      <w:pPr>
        <w:pStyle w:val="Prrafodelista"/>
        <w:numPr>
          <w:ilvl w:val="1"/>
          <w:numId w:val="42"/>
        </w:numPr>
      </w:pPr>
      <w:r w:rsidRPr="005B11A3">
        <w:t xml:space="preserve">Sobre la base de esta normativa, así como de lo dispuesto por la Ley de Protección de Datos Personales No. 18.331, que los participantes del acto de concentración económica solicita a la COPRODEC que declare la confidencialidad de determinadas secciones del Formulario de Solicitud de Autorización de Concentración Económica y del Formulario de Notificación de Concentración Económica, así como de toda otra información que pudiera ser aportada en el marco del reporte ante la autoridad. </w:t>
      </w:r>
    </w:p>
    <w:p w14:paraId="7898A739" w14:textId="77777777" w:rsidR="00671239" w:rsidRPr="005B11A3" w:rsidRDefault="00671239" w:rsidP="00792E7C">
      <w:pPr>
        <w:pStyle w:val="Prrafodelista"/>
        <w:numPr>
          <w:ilvl w:val="0"/>
          <w:numId w:val="0"/>
        </w:numPr>
        <w:ind w:left="644"/>
      </w:pPr>
    </w:p>
    <w:p w14:paraId="1354377C" w14:textId="77777777" w:rsidR="00671239" w:rsidRPr="005B11A3" w:rsidRDefault="00671239" w:rsidP="00671239">
      <w:pPr>
        <w:pStyle w:val="Prrafodelista"/>
        <w:numPr>
          <w:ilvl w:val="1"/>
          <w:numId w:val="42"/>
        </w:numPr>
      </w:pPr>
      <w:r w:rsidRPr="005B11A3">
        <w:lastRenderedPageBreak/>
        <w:t>En ese contexto, COPRODEC aclara a los participantes que las siguientes secciones de los Formularios no serán declaradas como confidenciales a saber:</w:t>
      </w:r>
    </w:p>
    <w:p w14:paraId="20E15A9A" w14:textId="77777777" w:rsidR="00671239" w:rsidRPr="005B11A3" w:rsidRDefault="00671239" w:rsidP="00792E7C">
      <w:pPr>
        <w:pStyle w:val="Prrafodelista"/>
        <w:numPr>
          <w:ilvl w:val="0"/>
          <w:numId w:val="0"/>
        </w:numPr>
        <w:ind w:left="644"/>
        <w:rPr>
          <w:u w:val="single"/>
        </w:rPr>
      </w:pPr>
    </w:p>
    <w:p w14:paraId="005D9586" w14:textId="77777777" w:rsidR="00671239" w:rsidRPr="005B11A3" w:rsidRDefault="00671239" w:rsidP="00671239">
      <w:pPr>
        <w:spacing w:line="360" w:lineRule="auto"/>
        <w:jc w:val="both"/>
        <w:rPr>
          <w:rFonts w:ascii="Arial" w:hAnsi="Arial" w:cs="Arial"/>
          <w:b/>
          <w:i/>
          <w:u w:val="single"/>
        </w:rPr>
      </w:pPr>
      <w:r w:rsidRPr="005B11A3">
        <w:rPr>
          <w:rFonts w:ascii="Arial" w:hAnsi="Arial" w:cs="Arial"/>
          <w:b/>
          <w:i/>
          <w:u w:val="single"/>
        </w:rPr>
        <w:t>Formulario de Solicitud de Autorización de Concentración Económica</w:t>
      </w:r>
    </w:p>
    <w:p w14:paraId="213DE569" w14:textId="77777777" w:rsidR="00671239" w:rsidRPr="005B11A3" w:rsidRDefault="00671239" w:rsidP="00671239">
      <w:pPr>
        <w:jc w:val="both"/>
        <w:rPr>
          <w:rFonts w:ascii="Arial" w:hAnsi="Arial" w:cs="Arial"/>
          <w:b/>
          <w:i/>
        </w:rPr>
      </w:pPr>
      <w:r w:rsidRPr="005B11A3">
        <w:rPr>
          <w:rFonts w:ascii="Arial" w:hAnsi="Arial" w:cs="Arial"/>
          <w:b/>
          <w:i/>
        </w:rPr>
        <w:t xml:space="preserve">1.Resumen ejecutivo de la operación </w:t>
      </w:r>
    </w:p>
    <w:p w14:paraId="5E96BBAB" w14:textId="77777777" w:rsidR="00671239" w:rsidRPr="005B11A3" w:rsidRDefault="00671239" w:rsidP="00671239">
      <w:pPr>
        <w:spacing w:line="360" w:lineRule="auto"/>
        <w:jc w:val="both"/>
        <w:rPr>
          <w:rFonts w:ascii="Arial" w:hAnsi="Arial" w:cs="Arial"/>
          <w:i/>
        </w:rPr>
      </w:pPr>
      <w:r w:rsidRPr="005B11A3">
        <w:rPr>
          <w:rFonts w:ascii="Arial" w:hAnsi="Arial" w:cs="Arial"/>
          <w:i/>
        </w:rPr>
        <w:t>Presentar en forma sintética a las empresas intervinientes, los mercados donde actúan, un breve detalle de los productos y servicios que comercializan y el contexto de la fusión (ej.: si hay eficiencias o complementariedades).</w:t>
      </w:r>
    </w:p>
    <w:p w14:paraId="57AA8522" w14:textId="77777777" w:rsidR="00671239" w:rsidRPr="005B11A3" w:rsidRDefault="00671239" w:rsidP="00671239">
      <w:pPr>
        <w:spacing w:line="360" w:lineRule="auto"/>
        <w:jc w:val="both"/>
        <w:rPr>
          <w:rFonts w:ascii="Arial" w:hAnsi="Arial" w:cs="Arial"/>
          <w:i/>
        </w:rPr>
      </w:pPr>
      <w:r w:rsidRPr="005B11A3">
        <w:rPr>
          <w:rFonts w:ascii="Arial" w:hAnsi="Arial" w:cs="Arial"/>
          <w:b/>
          <w:i/>
        </w:rPr>
        <w:t>2. Identificación de los agentes económicos involucrados en la operación</w:t>
      </w:r>
    </w:p>
    <w:p w14:paraId="43C2466A" w14:textId="77777777" w:rsidR="00671239" w:rsidRPr="005B11A3" w:rsidRDefault="00671239" w:rsidP="00671239">
      <w:pPr>
        <w:spacing w:line="360" w:lineRule="auto"/>
        <w:jc w:val="both"/>
        <w:rPr>
          <w:rFonts w:ascii="Arial" w:hAnsi="Arial" w:cs="Arial"/>
          <w:i/>
        </w:rPr>
      </w:pPr>
      <w:r w:rsidRPr="005B11A3">
        <w:rPr>
          <w:rFonts w:ascii="Arial" w:hAnsi="Arial" w:cs="Arial"/>
          <w:i/>
        </w:rPr>
        <w:t>Para personas físicas nombre y apellido; para personas jurídicas, razón social y/o nombre de fantasía.</w:t>
      </w:r>
    </w:p>
    <w:p w14:paraId="0F141AEA" w14:textId="77777777" w:rsidR="00671239" w:rsidRPr="005B11A3" w:rsidRDefault="00671239" w:rsidP="00671239">
      <w:pPr>
        <w:spacing w:line="360" w:lineRule="auto"/>
        <w:jc w:val="both"/>
        <w:rPr>
          <w:rFonts w:ascii="Arial" w:hAnsi="Arial" w:cs="Arial"/>
          <w:b/>
          <w:i/>
        </w:rPr>
      </w:pPr>
      <w:r w:rsidRPr="005B11A3">
        <w:rPr>
          <w:rFonts w:ascii="Arial" w:hAnsi="Arial" w:cs="Arial"/>
          <w:b/>
          <w:i/>
        </w:rPr>
        <w:t>3. Descripción y objetivo de la operación de concentración</w:t>
      </w:r>
    </w:p>
    <w:p w14:paraId="115944A6" w14:textId="77777777" w:rsidR="00671239" w:rsidRPr="005B11A3" w:rsidRDefault="00671239" w:rsidP="00671239">
      <w:pPr>
        <w:spacing w:line="360" w:lineRule="auto"/>
        <w:jc w:val="both"/>
        <w:rPr>
          <w:rFonts w:ascii="Arial" w:hAnsi="Arial" w:cs="Arial"/>
          <w:i/>
        </w:rPr>
      </w:pPr>
      <w:r w:rsidRPr="005B11A3">
        <w:rPr>
          <w:rFonts w:ascii="Arial" w:hAnsi="Arial" w:cs="Arial"/>
          <w:i/>
        </w:rPr>
        <w:t>3.1. Descripción del objeto de la operación</w:t>
      </w:r>
      <w:r w:rsidRPr="005B11A3">
        <w:rPr>
          <w:rStyle w:val="Refdenotaalpie"/>
          <w:rFonts w:ascii="Arial" w:hAnsi="Arial" w:cs="Arial"/>
          <w:i/>
        </w:rPr>
        <w:footnoteReference w:id="32"/>
      </w:r>
    </w:p>
    <w:p w14:paraId="28AB4C47" w14:textId="77777777" w:rsidR="00671239" w:rsidRPr="005B11A3" w:rsidRDefault="00671239" w:rsidP="00671239">
      <w:pPr>
        <w:spacing w:line="360" w:lineRule="auto"/>
        <w:jc w:val="both"/>
        <w:rPr>
          <w:rFonts w:ascii="Arial" w:hAnsi="Arial" w:cs="Arial"/>
          <w:i/>
        </w:rPr>
      </w:pPr>
      <w:r w:rsidRPr="005B11A3">
        <w:rPr>
          <w:rFonts w:ascii="Arial" w:hAnsi="Arial" w:cs="Arial"/>
          <w:i/>
        </w:rPr>
        <w:t>3.6. Indicar si en los últimos cinco años hubo notificaciones o solicitudes de autorización de operaciones de operaciones por parte de las empresas involucradas.</w:t>
      </w:r>
    </w:p>
    <w:p w14:paraId="4E9A0D91" w14:textId="77777777" w:rsidR="00671239" w:rsidRPr="005B11A3" w:rsidRDefault="00671239" w:rsidP="00671239">
      <w:pPr>
        <w:spacing w:line="360" w:lineRule="auto"/>
        <w:jc w:val="both"/>
        <w:rPr>
          <w:rFonts w:ascii="Arial" w:hAnsi="Arial" w:cs="Arial"/>
          <w:i/>
        </w:rPr>
      </w:pPr>
      <w:r w:rsidRPr="005B11A3">
        <w:rPr>
          <w:rFonts w:ascii="Arial" w:hAnsi="Arial" w:cs="Arial"/>
          <w:i/>
        </w:rPr>
        <w:t>3.7. Indicar el/</w:t>
      </w:r>
      <w:proofErr w:type="gramStart"/>
      <w:r w:rsidRPr="005B11A3">
        <w:rPr>
          <w:rFonts w:ascii="Arial" w:hAnsi="Arial" w:cs="Arial"/>
          <w:i/>
        </w:rPr>
        <w:t>los sector</w:t>
      </w:r>
      <w:proofErr w:type="gramEnd"/>
      <w:r w:rsidRPr="005B11A3">
        <w:rPr>
          <w:rFonts w:ascii="Arial" w:hAnsi="Arial" w:cs="Arial"/>
          <w:i/>
        </w:rPr>
        <w:t>/es y subsector/es en el que tiene lugar la operación de concentración.</w:t>
      </w:r>
    </w:p>
    <w:p w14:paraId="07076259" w14:textId="77777777" w:rsidR="00671239" w:rsidRPr="005B11A3" w:rsidRDefault="00671239" w:rsidP="00671239">
      <w:pPr>
        <w:spacing w:line="360" w:lineRule="auto"/>
        <w:jc w:val="both"/>
        <w:rPr>
          <w:rFonts w:ascii="Arial" w:hAnsi="Arial" w:cs="Arial"/>
          <w:i/>
        </w:rPr>
      </w:pPr>
      <w:r w:rsidRPr="005B11A3">
        <w:rPr>
          <w:rFonts w:ascii="Arial" w:hAnsi="Arial" w:cs="Arial"/>
          <w:i/>
        </w:rPr>
        <w:lastRenderedPageBreak/>
        <w:t>3.8. Indicar el tipo de concentración económica (horizontal, vertical o de conglomerado).</w:t>
      </w:r>
    </w:p>
    <w:p w14:paraId="4154AEAC" w14:textId="77777777" w:rsidR="00671239" w:rsidRPr="005B11A3" w:rsidRDefault="00671239" w:rsidP="00671239">
      <w:pPr>
        <w:spacing w:line="360" w:lineRule="auto"/>
        <w:jc w:val="both"/>
        <w:rPr>
          <w:rFonts w:ascii="Arial" w:hAnsi="Arial" w:cs="Arial"/>
          <w:b/>
          <w:i/>
        </w:rPr>
      </w:pPr>
      <w:r w:rsidRPr="005B11A3">
        <w:rPr>
          <w:rFonts w:ascii="Arial" w:hAnsi="Arial" w:cs="Arial"/>
          <w:b/>
          <w:i/>
        </w:rPr>
        <w:t>5.Identificación y descripción de los mercados involucrados en la operación de concentración</w:t>
      </w:r>
    </w:p>
    <w:p w14:paraId="68BDDB1E" w14:textId="77777777" w:rsidR="00671239" w:rsidRPr="005B11A3" w:rsidRDefault="00671239" w:rsidP="00671239">
      <w:pPr>
        <w:spacing w:line="360" w:lineRule="auto"/>
        <w:jc w:val="both"/>
        <w:rPr>
          <w:rFonts w:ascii="Arial" w:hAnsi="Arial" w:cs="Arial"/>
          <w:i/>
        </w:rPr>
      </w:pPr>
      <w:r w:rsidRPr="005B11A3">
        <w:rPr>
          <w:rFonts w:ascii="Arial" w:hAnsi="Arial" w:cs="Arial"/>
          <w:i/>
        </w:rPr>
        <w:t xml:space="preserve">5.1. Definición y descripción de cada uno de los mercados relevantes (de producto y geográficos) involucrados en la operación. </w:t>
      </w:r>
    </w:p>
    <w:p w14:paraId="568BF78C" w14:textId="77777777" w:rsidR="00671239" w:rsidRPr="005B11A3" w:rsidRDefault="00671239" w:rsidP="00671239">
      <w:pPr>
        <w:spacing w:line="360" w:lineRule="auto"/>
        <w:jc w:val="both"/>
        <w:rPr>
          <w:rFonts w:ascii="Arial" w:hAnsi="Arial" w:cs="Arial"/>
          <w:i/>
        </w:rPr>
      </w:pPr>
      <w:r w:rsidRPr="005B11A3">
        <w:rPr>
          <w:rFonts w:ascii="Arial" w:hAnsi="Arial" w:cs="Arial"/>
          <w:i/>
        </w:rPr>
        <w:t xml:space="preserve">5.2.3. Identificación de los bienes y/o servicios que puedan considerarse sustitutos cercanos </w:t>
      </w:r>
      <w:proofErr w:type="spellStart"/>
      <w:r w:rsidRPr="005B11A3">
        <w:rPr>
          <w:rFonts w:ascii="Arial" w:hAnsi="Arial" w:cs="Arial"/>
          <w:i/>
        </w:rPr>
        <w:t>al</w:t>
      </w:r>
      <w:proofErr w:type="spellEnd"/>
      <w:r w:rsidRPr="005B11A3">
        <w:rPr>
          <w:rFonts w:ascii="Arial" w:hAnsi="Arial" w:cs="Arial"/>
          <w:i/>
        </w:rPr>
        <w:t xml:space="preserve"> los comercializados por las partes.</w:t>
      </w:r>
    </w:p>
    <w:p w14:paraId="52A4940B" w14:textId="77777777" w:rsidR="00671239" w:rsidRPr="005B11A3" w:rsidRDefault="00671239" w:rsidP="00671239">
      <w:pPr>
        <w:spacing w:line="360" w:lineRule="auto"/>
        <w:jc w:val="both"/>
        <w:rPr>
          <w:rFonts w:ascii="Arial" w:hAnsi="Arial" w:cs="Arial"/>
          <w:i/>
        </w:rPr>
      </w:pPr>
      <w:r w:rsidRPr="005B11A3">
        <w:rPr>
          <w:rFonts w:ascii="Arial" w:hAnsi="Arial" w:cs="Arial"/>
          <w:i/>
        </w:rPr>
        <w:t>5.6. Evaluación de impacto competitivo</w:t>
      </w:r>
      <w:r w:rsidRPr="005B11A3">
        <w:rPr>
          <w:rStyle w:val="Refdenotaalpie"/>
          <w:rFonts w:ascii="Arial" w:hAnsi="Arial" w:cs="Arial"/>
          <w:i/>
        </w:rPr>
        <w:footnoteReference w:id="33"/>
      </w:r>
      <w:r w:rsidRPr="005B11A3">
        <w:rPr>
          <w:rFonts w:ascii="Arial" w:hAnsi="Arial" w:cs="Arial"/>
          <w:i/>
        </w:rPr>
        <w:t xml:space="preserve">. </w:t>
      </w:r>
    </w:p>
    <w:p w14:paraId="0ED05034" w14:textId="77777777" w:rsidR="00671239" w:rsidRPr="005B11A3" w:rsidRDefault="00671239" w:rsidP="00671239">
      <w:pPr>
        <w:spacing w:line="360" w:lineRule="auto"/>
        <w:jc w:val="both"/>
        <w:rPr>
          <w:rFonts w:ascii="Arial" w:hAnsi="Arial" w:cs="Arial"/>
          <w:b/>
          <w:i/>
          <w:u w:val="single"/>
        </w:rPr>
      </w:pPr>
      <w:r w:rsidRPr="005B11A3">
        <w:rPr>
          <w:rFonts w:ascii="Arial" w:hAnsi="Arial" w:cs="Arial"/>
          <w:b/>
          <w:i/>
          <w:u w:val="single"/>
        </w:rPr>
        <w:t xml:space="preserve">Formulario de Notificación de Concentraciones Económicas </w:t>
      </w:r>
    </w:p>
    <w:p w14:paraId="68A18513" w14:textId="77777777" w:rsidR="00671239" w:rsidRPr="005B11A3" w:rsidRDefault="00671239" w:rsidP="00671239">
      <w:pPr>
        <w:jc w:val="both"/>
        <w:rPr>
          <w:rFonts w:ascii="Arial" w:hAnsi="Arial" w:cs="Arial"/>
          <w:b/>
          <w:i/>
        </w:rPr>
      </w:pPr>
      <w:r w:rsidRPr="005B11A3">
        <w:rPr>
          <w:rFonts w:ascii="Arial" w:hAnsi="Arial" w:cs="Arial"/>
          <w:b/>
          <w:i/>
        </w:rPr>
        <w:t xml:space="preserve">1.Resumen ejecutivo de la operación </w:t>
      </w:r>
    </w:p>
    <w:p w14:paraId="177B0DDC" w14:textId="77777777" w:rsidR="00671239" w:rsidRPr="005B11A3" w:rsidRDefault="00671239" w:rsidP="00671239">
      <w:pPr>
        <w:spacing w:line="360" w:lineRule="auto"/>
        <w:jc w:val="both"/>
        <w:rPr>
          <w:rFonts w:ascii="Arial" w:hAnsi="Arial" w:cs="Arial"/>
          <w:i/>
        </w:rPr>
      </w:pPr>
      <w:r w:rsidRPr="005B11A3">
        <w:rPr>
          <w:rFonts w:ascii="Arial" w:hAnsi="Arial" w:cs="Arial"/>
          <w:i/>
        </w:rPr>
        <w:t>Presentar en forma sintética a las empresas intervinientes, los mercados donde actúan, un breve detalle de los productos y servicios que comercializan y el contexto de la fusión (ej.: si hay eficiencias o complementariedades).</w:t>
      </w:r>
    </w:p>
    <w:p w14:paraId="66CF703C" w14:textId="77777777" w:rsidR="00671239" w:rsidRPr="005B11A3" w:rsidRDefault="00671239" w:rsidP="00671239">
      <w:pPr>
        <w:spacing w:line="360" w:lineRule="auto"/>
        <w:jc w:val="both"/>
        <w:rPr>
          <w:rFonts w:ascii="Arial" w:hAnsi="Arial" w:cs="Arial"/>
          <w:i/>
        </w:rPr>
      </w:pPr>
      <w:r w:rsidRPr="005B11A3">
        <w:rPr>
          <w:rFonts w:ascii="Arial" w:hAnsi="Arial" w:cs="Arial"/>
          <w:b/>
          <w:i/>
        </w:rPr>
        <w:t>2. Identificación de los agentes económicos involucrados en la operación</w:t>
      </w:r>
    </w:p>
    <w:p w14:paraId="3F119A4B" w14:textId="77777777" w:rsidR="00671239" w:rsidRPr="005B11A3" w:rsidRDefault="00671239" w:rsidP="00671239">
      <w:pPr>
        <w:spacing w:line="360" w:lineRule="auto"/>
        <w:jc w:val="both"/>
        <w:rPr>
          <w:rFonts w:ascii="Arial" w:hAnsi="Arial" w:cs="Arial"/>
          <w:i/>
        </w:rPr>
      </w:pPr>
      <w:r w:rsidRPr="005B11A3">
        <w:rPr>
          <w:rFonts w:ascii="Arial" w:hAnsi="Arial" w:cs="Arial"/>
          <w:i/>
        </w:rPr>
        <w:t>Para personas físicas nombre y apellido; para personas jurídicas, razón social y/o nombre de fantasía.</w:t>
      </w:r>
    </w:p>
    <w:p w14:paraId="215909B0" w14:textId="77777777" w:rsidR="00671239" w:rsidRPr="005B11A3" w:rsidRDefault="00671239" w:rsidP="00671239">
      <w:pPr>
        <w:spacing w:line="360" w:lineRule="auto"/>
        <w:jc w:val="both"/>
        <w:rPr>
          <w:rFonts w:ascii="Arial" w:hAnsi="Arial" w:cs="Arial"/>
          <w:b/>
          <w:i/>
        </w:rPr>
      </w:pPr>
      <w:r w:rsidRPr="005B11A3">
        <w:rPr>
          <w:rFonts w:ascii="Arial" w:hAnsi="Arial" w:cs="Arial"/>
          <w:b/>
          <w:i/>
        </w:rPr>
        <w:t xml:space="preserve">3. Descripción y objetivo de la operación de concentración. </w:t>
      </w:r>
    </w:p>
    <w:p w14:paraId="6FD561A0" w14:textId="77777777" w:rsidR="00671239" w:rsidRPr="005B11A3" w:rsidRDefault="00671239" w:rsidP="00671239">
      <w:pPr>
        <w:spacing w:line="360" w:lineRule="auto"/>
        <w:jc w:val="both"/>
        <w:rPr>
          <w:rFonts w:ascii="Arial" w:hAnsi="Arial" w:cs="Arial"/>
          <w:i/>
        </w:rPr>
      </w:pPr>
      <w:r w:rsidRPr="005B11A3">
        <w:rPr>
          <w:rFonts w:ascii="Arial" w:hAnsi="Arial" w:cs="Arial"/>
          <w:i/>
        </w:rPr>
        <w:t>3.1. Descripción del objeto de la operación.</w:t>
      </w:r>
    </w:p>
    <w:p w14:paraId="680F3C45" w14:textId="77777777" w:rsidR="00671239" w:rsidRPr="005B11A3" w:rsidRDefault="00671239" w:rsidP="00671239">
      <w:pPr>
        <w:spacing w:line="360" w:lineRule="auto"/>
        <w:jc w:val="both"/>
        <w:rPr>
          <w:rFonts w:ascii="Arial" w:hAnsi="Arial" w:cs="Arial"/>
          <w:i/>
        </w:rPr>
      </w:pPr>
      <w:r w:rsidRPr="005B11A3">
        <w:rPr>
          <w:rFonts w:ascii="Arial" w:hAnsi="Arial" w:cs="Arial"/>
          <w:i/>
        </w:rPr>
        <w:lastRenderedPageBreak/>
        <w:t xml:space="preserve">3.4. Indicar si en los últimos cinco años hubo notificaciones o solicitudes de autorización de operaciones por parte de las empresas involucradas. </w:t>
      </w:r>
    </w:p>
    <w:p w14:paraId="2B881ABA" w14:textId="77777777" w:rsidR="00671239" w:rsidRPr="005B11A3" w:rsidRDefault="00671239" w:rsidP="00671239">
      <w:pPr>
        <w:spacing w:line="360" w:lineRule="auto"/>
        <w:jc w:val="both"/>
        <w:rPr>
          <w:rFonts w:ascii="Arial" w:hAnsi="Arial" w:cs="Arial"/>
          <w:i/>
        </w:rPr>
      </w:pPr>
      <w:r w:rsidRPr="005B11A3">
        <w:rPr>
          <w:rFonts w:ascii="Arial" w:hAnsi="Arial" w:cs="Arial"/>
          <w:i/>
        </w:rPr>
        <w:t xml:space="preserve">3.5. Indicación del tipo de concentración económica (horizontal, vertical o de conglomerado). </w:t>
      </w:r>
    </w:p>
    <w:p w14:paraId="1F762E7C" w14:textId="77777777" w:rsidR="00671239" w:rsidRPr="005B11A3" w:rsidRDefault="00671239" w:rsidP="00671239">
      <w:pPr>
        <w:spacing w:line="360" w:lineRule="auto"/>
        <w:jc w:val="both"/>
        <w:rPr>
          <w:rFonts w:ascii="Arial" w:hAnsi="Arial" w:cs="Arial"/>
          <w:b/>
          <w:i/>
        </w:rPr>
      </w:pPr>
      <w:r w:rsidRPr="005B11A3">
        <w:rPr>
          <w:rFonts w:ascii="Arial" w:hAnsi="Arial" w:cs="Arial"/>
          <w:b/>
          <w:i/>
        </w:rPr>
        <w:t>4. Identificación y descripción de los mercados involucrados en la operación de concentración</w:t>
      </w:r>
    </w:p>
    <w:p w14:paraId="13E20784" w14:textId="77777777" w:rsidR="00671239" w:rsidRPr="005B11A3" w:rsidRDefault="00671239" w:rsidP="00671239">
      <w:pPr>
        <w:spacing w:line="360" w:lineRule="auto"/>
        <w:jc w:val="both"/>
        <w:rPr>
          <w:rFonts w:ascii="Arial" w:hAnsi="Arial" w:cs="Arial"/>
        </w:rPr>
      </w:pPr>
      <w:r w:rsidRPr="005B11A3">
        <w:rPr>
          <w:rFonts w:ascii="Arial" w:hAnsi="Arial" w:cs="Arial"/>
          <w:i/>
        </w:rPr>
        <w:t>4.1. Definir y describir cada uno de los mercados relevantes de productos de producto y geográficos involucrados en la operación.</w:t>
      </w:r>
      <w:r w:rsidRPr="005B11A3">
        <w:rPr>
          <w:rFonts w:ascii="Arial" w:hAnsi="Arial" w:cs="Arial"/>
        </w:rPr>
        <w:t xml:space="preserve"> </w:t>
      </w:r>
    </w:p>
    <w:p w14:paraId="61471CD5" w14:textId="77777777" w:rsidR="00671239" w:rsidRPr="005B11A3" w:rsidRDefault="00671239" w:rsidP="00671239">
      <w:pPr>
        <w:spacing w:line="360" w:lineRule="auto"/>
        <w:jc w:val="both"/>
        <w:rPr>
          <w:rFonts w:ascii="Arial" w:hAnsi="Arial" w:cs="Arial"/>
        </w:rPr>
      </w:pPr>
    </w:p>
    <w:p w14:paraId="0029F4F8" w14:textId="77777777" w:rsidR="00671239" w:rsidRPr="005B11A3" w:rsidRDefault="00671239" w:rsidP="00671239">
      <w:pPr>
        <w:pStyle w:val="Prrafodelista"/>
        <w:numPr>
          <w:ilvl w:val="1"/>
          <w:numId w:val="42"/>
        </w:numPr>
        <w:rPr>
          <w:i/>
        </w:rPr>
      </w:pPr>
      <w:r w:rsidRPr="005B11A3">
        <w:t xml:space="preserve">En definitiva, la COPRODEC publicará en su sitio web las resoluciones recaídas en los casos de concentraciones económicas, las cuales podrán contener, entre otros extremos, el nombre y apellido o razón social de los participantes, el objeto de la operación, la definición de los mercados relevantes y la evaluación de impacto competitivo. Ello contribuye a facilitar el conocimiento y la utilización de precedentes por parte de terceros en casos análogos, así como comprender el alcance y los fundamentos de la resolución en cumplimiento del principio de transparencia. </w:t>
      </w:r>
    </w:p>
    <w:p w14:paraId="64A77C8C" w14:textId="77777777" w:rsidR="00671239" w:rsidRPr="005B11A3" w:rsidRDefault="00671239" w:rsidP="005B11A3">
      <w:pPr>
        <w:pStyle w:val="Prrafodelista"/>
        <w:numPr>
          <w:ilvl w:val="0"/>
          <w:numId w:val="0"/>
        </w:numPr>
        <w:ind w:left="1080"/>
        <w:rPr>
          <w:i/>
        </w:rPr>
      </w:pPr>
    </w:p>
    <w:p w14:paraId="0861F862" w14:textId="77777777" w:rsidR="00671239" w:rsidRPr="005B11A3" w:rsidRDefault="00671239" w:rsidP="00671239">
      <w:pPr>
        <w:pStyle w:val="Prrafodelista"/>
        <w:numPr>
          <w:ilvl w:val="1"/>
          <w:numId w:val="42"/>
        </w:numPr>
        <w:rPr>
          <w:i/>
        </w:rPr>
      </w:pPr>
      <w:r w:rsidRPr="005B11A3">
        <w:t xml:space="preserve">La COPRODEC se encuentra expresamente facultada para proceder de esta forma, en tanto el artículo 28 de la LDC dispone que: </w:t>
      </w:r>
      <w:r w:rsidRPr="005B11A3">
        <w:rPr>
          <w:i/>
        </w:rPr>
        <w:t xml:space="preserve">“(Publicación) Las resoluciones del órgano de aplicación </w:t>
      </w:r>
      <w:r w:rsidRPr="005B11A3">
        <w:rPr>
          <w:i/>
        </w:rPr>
        <w:lastRenderedPageBreak/>
        <w:t>serán publicadas en su página electrónica institucional. Asimismo, éste podrá dar una descripción detallada de los casos analizados”.</w:t>
      </w:r>
    </w:p>
    <w:p w14:paraId="31826A38" w14:textId="77777777" w:rsidR="00671239" w:rsidRPr="005B11A3" w:rsidRDefault="00671239" w:rsidP="005B11A3">
      <w:pPr>
        <w:pStyle w:val="Prrafodelista"/>
        <w:numPr>
          <w:ilvl w:val="0"/>
          <w:numId w:val="0"/>
        </w:numPr>
        <w:ind w:left="644"/>
        <w:rPr>
          <w:i/>
        </w:rPr>
      </w:pPr>
    </w:p>
    <w:p w14:paraId="7331BD08" w14:textId="77777777" w:rsidR="00671239" w:rsidRPr="005B11A3" w:rsidRDefault="00671239" w:rsidP="00671239">
      <w:pPr>
        <w:pStyle w:val="Prrafodelista"/>
        <w:numPr>
          <w:ilvl w:val="1"/>
          <w:numId w:val="42"/>
        </w:numPr>
        <w:rPr>
          <w:i/>
        </w:rPr>
      </w:pPr>
      <w:r w:rsidRPr="005B11A3">
        <w:t xml:space="preserve">En ese sentido, corresponde recordar que, en materia de datos personales, la Ley de Protección de Datos No. 18.331 exige, como regla general, el previo consentimiento informado del titular para la comunicación, salvo excepción, entre otras, que la comunicación fuera dispuesta por </w:t>
      </w:r>
      <w:r w:rsidRPr="005B11A3">
        <w:rPr>
          <w:i/>
        </w:rPr>
        <w:t>“ley de interés general”</w:t>
      </w:r>
      <w:r w:rsidRPr="005B11A3">
        <w:t xml:space="preserve"> (artículo 17)</w:t>
      </w:r>
      <w:r w:rsidRPr="005B11A3">
        <w:rPr>
          <w:rStyle w:val="Refdenotaalpie"/>
        </w:rPr>
        <w:footnoteReference w:id="34"/>
      </w:r>
      <w:r w:rsidRPr="005B11A3">
        <w:t>. En el presente caso, dicha excepción resulta aplicable, en tanto existe una autorización legal expresa, dado que la LDC en su artículo 28, habilita la publicidad de las resoluciones de los casos que dirime.</w:t>
      </w:r>
    </w:p>
    <w:p w14:paraId="562DE22D" w14:textId="77777777" w:rsidR="00671239" w:rsidRPr="005B11A3" w:rsidRDefault="00671239" w:rsidP="005B11A3">
      <w:pPr>
        <w:pStyle w:val="Prrafodelista"/>
        <w:numPr>
          <w:ilvl w:val="0"/>
          <w:numId w:val="0"/>
        </w:numPr>
        <w:ind w:left="644"/>
        <w:rPr>
          <w:i/>
        </w:rPr>
      </w:pPr>
    </w:p>
    <w:p w14:paraId="394AC55E" w14:textId="77777777" w:rsidR="00671239" w:rsidRPr="005B11A3" w:rsidRDefault="00671239" w:rsidP="00671239">
      <w:pPr>
        <w:pStyle w:val="Prrafodelista"/>
        <w:numPr>
          <w:ilvl w:val="1"/>
          <w:numId w:val="42"/>
        </w:numPr>
        <w:rPr>
          <w:i/>
        </w:rPr>
      </w:pPr>
      <w:r w:rsidRPr="005B11A3">
        <w:t xml:space="preserve">Asimismo, en otras hipótesis – como las operaciones de concentración económica ya realizadas por los grupos económicos a los que pertenecen los participantes-, dicha información, en muchos casos, ya se encuentra en el dominio público, sea por haber sido oportunamente publicada por la COPRODEC u otras autoridades competentes. En tales circunstancias, no resulta procedente ni razonable requerir su confidencialidad. </w:t>
      </w:r>
    </w:p>
    <w:p w14:paraId="04828C02" w14:textId="77777777" w:rsidR="00671239" w:rsidRPr="005B11A3" w:rsidRDefault="00671239" w:rsidP="005B11A3">
      <w:pPr>
        <w:pStyle w:val="Prrafodelista"/>
        <w:numPr>
          <w:ilvl w:val="0"/>
          <w:numId w:val="0"/>
        </w:numPr>
        <w:ind w:left="644"/>
        <w:rPr>
          <w:i/>
        </w:rPr>
      </w:pPr>
    </w:p>
    <w:p w14:paraId="1F41C893" w14:textId="3C4B1AB2" w:rsidR="00671239" w:rsidRPr="005B11A3" w:rsidRDefault="00671239" w:rsidP="00671239">
      <w:pPr>
        <w:pStyle w:val="Prrafodelista"/>
        <w:numPr>
          <w:ilvl w:val="1"/>
          <w:numId w:val="42"/>
        </w:numPr>
        <w:rPr>
          <w:b/>
          <w:i/>
          <w:u w:val="single"/>
        </w:rPr>
      </w:pPr>
      <w:r w:rsidRPr="005B11A3">
        <w:rPr>
          <w:b/>
          <w:u w:val="single"/>
        </w:rPr>
        <w:t>Oportunidad de la publicación</w:t>
      </w:r>
      <w:r w:rsidR="005B11A3">
        <w:rPr>
          <w:b/>
          <w:u w:val="single"/>
        </w:rPr>
        <w:t>.</w:t>
      </w:r>
      <w:r w:rsidRPr="005B11A3">
        <w:t xml:space="preserve"> Por último, COPRODEC realizará la publicación, posteriormente a que las partes hayan acreditado ante su sede que han cerrado la operación</w:t>
      </w:r>
    </w:p>
    <w:p w14:paraId="39B86A72" w14:textId="0E41679F" w:rsidR="00671239" w:rsidRPr="005B11A3" w:rsidRDefault="00671239" w:rsidP="005B11A3">
      <w:pPr>
        <w:ind w:left="360"/>
        <w:rPr>
          <w:rFonts w:ascii="Arial" w:hAnsi="Arial" w:cs="Arial"/>
          <w:i/>
        </w:rPr>
      </w:pPr>
    </w:p>
    <w:p w14:paraId="7E30F455" w14:textId="371A5C36" w:rsidR="005B11A3" w:rsidRPr="005B11A3" w:rsidRDefault="005B11A3" w:rsidP="005B11A3">
      <w:pPr>
        <w:ind w:left="360"/>
        <w:rPr>
          <w:rFonts w:ascii="Arial" w:hAnsi="Arial" w:cs="Arial"/>
          <w:i/>
        </w:rPr>
      </w:pPr>
    </w:p>
    <w:p w14:paraId="09505CDC" w14:textId="6B072435" w:rsidR="005B11A3" w:rsidRPr="005B11A3" w:rsidRDefault="005B11A3" w:rsidP="005B11A3">
      <w:pPr>
        <w:ind w:left="360"/>
        <w:rPr>
          <w:rFonts w:ascii="Arial" w:hAnsi="Arial" w:cs="Arial"/>
          <w:i/>
        </w:rPr>
      </w:pPr>
    </w:p>
    <w:p w14:paraId="0C04FF9E" w14:textId="77777777" w:rsidR="005B11A3" w:rsidRPr="005B11A3" w:rsidRDefault="005B11A3" w:rsidP="005B11A3">
      <w:pPr>
        <w:ind w:left="360"/>
        <w:rPr>
          <w:rFonts w:ascii="Arial" w:hAnsi="Arial" w:cs="Arial"/>
          <w:i/>
        </w:rPr>
      </w:pPr>
    </w:p>
    <w:p w14:paraId="72D87658" w14:textId="77777777" w:rsidR="00671239" w:rsidRPr="005B11A3" w:rsidRDefault="00671239" w:rsidP="00671239">
      <w:pPr>
        <w:pStyle w:val="Prrafodelista"/>
        <w:numPr>
          <w:ilvl w:val="0"/>
          <w:numId w:val="42"/>
        </w:numPr>
        <w:rPr>
          <w:b/>
          <w:bCs/>
          <w:u w:val="single"/>
        </w:rPr>
      </w:pPr>
      <w:r w:rsidRPr="005B11A3">
        <w:rPr>
          <w:b/>
          <w:bCs/>
          <w:u w:val="single"/>
        </w:rPr>
        <w:t>GLOSARIO</w:t>
      </w:r>
    </w:p>
    <w:p w14:paraId="7541137D" w14:textId="77777777" w:rsidR="00671239" w:rsidRPr="005B11A3" w:rsidRDefault="00671239" w:rsidP="005B11A3">
      <w:pPr>
        <w:pStyle w:val="Prrafodelista"/>
        <w:numPr>
          <w:ilvl w:val="0"/>
          <w:numId w:val="0"/>
        </w:numPr>
        <w:ind w:left="644"/>
        <w:rPr>
          <w:b/>
          <w:bCs/>
          <w:u w:val="single"/>
        </w:rPr>
      </w:pPr>
    </w:p>
    <w:p w14:paraId="5C95969F" w14:textId="77777777" w:rsidR="00671239" w:rsidRPr="005B11A3" w:rsidRDefault="00671239" w:rsidP="00671239">
      <w:pPr>
        <w:pStyle w:val="Prrafodelista"/>
        <w:numPr>
          <w:ilvl w:val="1"/>
          <w:numId w:val="42"/>
        </w:numPr>
        <w:rPr>
          <w:b/>
          <w:bCs/>
          <w:u w:val="single"/>
        </w:rPr>
      </w:pPr>
      <w:r w:rsidRPr="005B11A3">
        <w:t>A los efectos de facilitar el correcto entendimiento de los Formularios por parte de los participantes, se incluye en este apartado un glosario de los términos utilizados.</w:t>
      </w:r>
    </w:p>
    <w:p w14:paraId="71C04779" w14:textId="77777777" w:rsidR="00671239" w:rsidRPr="005B11A3" w:rsidRDefault="00671239" w:rsidP="00671239">
      <w:pPr>
        <w:spacing w:before="100" w:beforeAutospacing="1" w:after="100" w:afterAutospacing="1" w:line="360" w:lineRule="auto"/>
        <w:jc w:val="both"/>
        <w:outlineLvl w:val="2"/>
        <w:rPr>
          <w:rFonts w:ascii="Arial" w:eastAsia="Times New Roman" w:hAnsi="Arial" w:cs="Arial"/>
          <w:lang w:eastAsia="es-UY"/>
        </w:rPr>
      </w:pPr>
      <w:bookmarkStart w:id="14" w:name="_Toc220937000"/>
      <w:r w:rsidRPr="005B11A3">
        <w:rPr>
          <w:rFonts w:ascii="Arial" w:eastAsia="Times New Roman" w:hAnsi="Arial" w:cs="Arial"/>
          <w:b/>
          <w:bCs/>
          <w:lang w:eastAsia="es-UY"/>
        </w:rPr>
        <w:t>Mercado relevante</w:t>
      </w:r>
      <w:r w:rsidRPr="005B11A3">
        <w:rPr>
          <w:rFonts w:ascii="Arial" w:eastAsia="Calibri" w:hAnsi="Arial" w:cs="Arial"/>
          <w:b/>
          <w:bCs/>
          <w:lang w:eastAsia="es-UY"/>
        </w:rPr>
        <w:t xml:space="preserve">: </w:t>
      </w:r>
      <w:r w:rsidRPr="005B11A3">
        <w:rPr>
          <w:rFonts w:ascii="Arial" w:eastAsia="Times New Roman" w:hAnsi="Arial" w:cs="Arial"/>
          <w:lang w:eastAsia="es-UY"/>
        </w:rPr>
        <w:t xml:space="preserve">Ámbito dentro del cual se evalúan los efectos de una conducta o de una concentración económica sobre la competencia. Comprende tanto una </w:t>
      </w:r>
      <w:r w:rsidRPr="005B11A3">
        <w:rPr>
          <w:rFonts w:ascii="Arial" w:eastAsia="Times New Roman" w:hAnsi="Arial" w:cs="Arial"/>
          <w:bCs/>
          <w:lang w:eastAsia="es-UY"/>
        </w:rPr>
        <w:t>dimensión de producto</w:t>
      </w:r>
      <w:r w:rsidRPr="005B11A3">
        <w:rPr>
          <w:rFonts w:ascii="Arial" w:eastAsia="Times New Roman" w:hAnsi="Arial" w:cs="Arial"/>
          <w:lang w:eastAsia="es-UY"/>
        </w:rPr>
        <w:t xml:space="preserve"> como una </w:t>
      </w:r>
      <w:r w:rsidRPr="005B11A3">
        <w:rPr>
          <w:rFonts w:ascii="Arial" w:eastAsia="Times New Roman" w:hAnsi="Arial" w:cs="Arial"/>
          <w:bCs/>
          <w:lang w:eastAsia="es-UY"/>
        </w:rPr>
        <w:t>dimensión geográfica</w:t>
      </w:r>
      <w:r w:rsidRPr="005B11A3">
        <w:rPr>
          <w:rFonts w:ascii="Arial" w:eastAsia="Times New Roman" w:hAnsi="Arial" w:cs="Arial"/>
          <w:lang w:eastAsia="es-UY"/>
        </w:rPr>
        <w:t xml:space="preserve">. En términos de producto, abarca el conjunto de bienes o servicios que son </w:t>
      </w:r>
      <w:r w:rsidRPr="005B11A3">
        <w:rPr>
          <w:rFonts w:ascii="Arial" w:eastAsia="Times New Roman" w:hAnsi="Arial" w:cs="Arial"/>
          <w:bCs/>
          <w:lang w:eastAsia="es-UY"/>
        </w:rPr>
        <w:t>sustitutos cercanos</w:t>
      </w:r>
      <w:r w:rsidRPr="005B11A3">
        <w:rPr>
          <w:rFonts w:ascii="Arial" w:eastAsia="Times New Roman" w:hAnsi="Arial" w:cs="Arial"/>
          <w:lang w:eastAsia="es-UY"/>
        </w:rPr>
        <w:t xml:space="preserve"> entre sí, es decir, aquellos que los consumidores, usuarios y / o empresas pueden reemplazar unos por otros ante una variación en los precios, sin una pérdida significativa de utilidad.</w:t>
      </w:r>
      <w:bookmarkEnd w:id="14"/>
      <w:r w:rsidRPr="005B11A3">
        <w:rPr>
          <w:rFonts w:ascii="Arial" w:eastAsia="Times New Roman" w:hAnsi="Arial" w:cs="Arial"/>
          <w:lang w:eastAsia="es-UY"/>
        </w:rPr>
        <w:t xml:space="preserve"> </w:t>
      </w:r>
    </w:p>
    <w:p w14:paraId="7882D481" w14:textId="77777777" w:rsidR="00671239" w:rsidRPr="005B11A3" w:rsidRDefault="00671239" w:rsidP="00671239">
      <w:pPr>
        <w:spacing w:before="100" w:beforeAutospacing="1" w:after="100" w:afterAutospacing="1" w:line="360" w:lineRule="auto"/>
        <w:jc w:val="both"/>
        <w:rPr>
          <w:rFonts w:ascii="Arial" w:eastAsia="Calibri" w:hAnsi="Arial" w:cs="Arial"/>
          <w:lang w:eastAsia="es-UY"/>
        </w:rPr>
      </w:pPr>
      <w:r w:rsidRPr="005B11A3">
        <w:rPr>
          <w:rFonts w:ascii="Arial" w:eastAsia="Times New Roman" w:hAnsi="Arial" w:cs="Arial"/>
          <w:lang w:eastAsia="es-UY"/>
        </w:rPr>
        <w:lastRenderedPageBreak/>
        <w:t>En su dimensión geográfica, el mercado relevante comprende el área dentro de la cual los oferentes y demandantes interactúan en condiciones suficientemente homogéneas de competencia (ej.: local, regional o nacional).</w:t>
      </w:r>
    </w:p>
    <w:p w14:paraId="4E1F5A44" w14:textId="77777777" w:rsidR="00671239" w:rsidRPr="005B11A3" w:rsidRDefault="00671239" w:rsidP="00671239">
      <w:pPr>
        <w:spacing w:before="100" w:beforeAutospacing="1" w:after="100" w:afterAutospacing="1" w:line="360" w:lineRule="auto"/>
        <w:jc w:val="both"/>
        <w:rPr>
          <w:rFonts w:ascii="Arial" w:eastAsia="Times New Roman" w:hAnsi="Arial" w:cs="Arial"/>
          <w:lang w:eastAsia="es-UY"/>
        </w:rPr>
      </w:pPr>
      <w:r w:rsidRPr="005B11A3">
        <w:rPr>
          <w:rFonts w:ascii="Arial" w:eastAsia="Times New Roman" w:hAnsi="Arial" w:cs="Arial"/>
          <w:b/>
          <w:bCs/>
          <w:lang w:eastAsia="es-UY"/>
        </w:rPr>
        <w:t>Operación horizontal</w:t>
      </w:r>
      <w:r w:rsidRPr="005B11A3">
        <w:rPr>
          <w:rFonts w:ascii="Arial" w:eastAsia="Calibri" w:hAnsi="Arial" w:cs="Arial"/>
          <w:b/>
          <w:bCs/>
          <w:lang w:eastAsia="es-UY"/>
        </w:rPr>
        <w:t xml:space="preserve">: </w:t>
      </w:r>
      <w:r w:rsidRPr="005B11A3">
        <w:rPr>
          <w:rFonts w:ascii="Arial" w:eastAsia="Calibri" w:hAnsi="Arial" w:cs="Arial"/>
          <w:lang w:eastAsia="es-UY"/>
        </w:rPr>
        <w:t>Operación</w:t>
      </w:r>
      <w:r w:rsidRPr="005B11A3">
        <w:rPr>
          <w:rFonts w:ascii="Arial" w:eastAsia="Times New Roman" w:hAnsi="Arial" w:cs="Arial"/>
          <w:lang w:eastAsia="es-UY"/>
        </w:rPr>
        <w:t xml:space="preserve"> en que dos o más agentes económicos que </w:t>
      </w:r>
      <w:r w:rsidRPr="005B11A3">
        <w:rPr>
          <w:rFonts w:ascii="Arial" w:eastAsia="Times New Roman" w:hAnsi="Arial" w:cs="Arial"/>
          <w:bCs/>
          <w:lang w:eastAsia="es-UY"/>
        </w:rPr>
        <w:t>compiten en un mismo mercado relevante</w:t>
      </w:r>
      <w:r w:rsidRPr="005B11A3">
        <w:rPr>
          <w:rFonts w:ascii="Arial" w:eastAsia="Times New Roman" w:hAnsi="Arial" w:cs="Arial"/>
          <w:lang w:eastAsia="es-UY"/>
        </w:rPr>
        <w:t xml:space="preserve"> de producto y geográfico, se integran o </w:t>
      </w:r>
      <w:bookmarkStart w:id="15" w:name="_Hlk213775473"/>
      <w:r w:rsidRPr="005B11A3">
        <w:rPr>
          <w:rFonts w:ascii="Arial" w:eastAsia="Times New Roman" w:hAnsi="Arial" w:cs="Arial"/>
          <w:lang w:eastAsia="es-UY"/>
        </w:rPr>
        <w:t>concentran</w:t>
      </w:r>
      <w:bookmarkEnd w:id="15"/>
      <w:r w:rsidRPr="005B11A3">
        <w:rPr>
          <w:rFonts w:ascii="Arial" w:eastAsia="Times New Roman" w:hAnsi="Arial" w:cs="Arial"/>
          <w:lang w:eastAsia="es-UY"/>
        </w:rPr>
        <w:t>, ya sea mediante una fusión, adquisición o cualquier otra forma de concentración.</w:t>
      </w:r>
    </w:p>
    <w:p w14:paraId="23D6B0DB" w14:textId="77777777" w:rsidR="00671239" w:rsidRPr="005B11A3" w:rsidRDefault="00671239" w:rsidP="00671239">
      <w:pPr>
        <w:spacing w:before="100" w:beforeAutospacing="1" w:after="100" w:afterAutospacing="1" w:line="360" w:lineRule="auto"/>
        <w:jc w:val="both"/>
        <w:outlineLvl w:val="2"/>
        <w:rPr>
          <w:rFonts w:ascii="Arial" w:eastAsia="Calibri" w:hAnsi="Arial" w:cs="Arial"/>
          <w:lang w:eastAsia="es-UY"/>
        </w:rPr>
      </w:pPr>
      <w:bookmarkStart w:id="16" w:name="_Toc220937001"/>
      <w:r w:rsidRPr="005B11A3">
        <w:rPr>
          <w:rFonts w:ascii="Arial" w:eastAsia="Times New Roman" w:hAnsi="Arial" w:cs="Arial"/>
          <w:b/>
          <w:bCs/>
          <w:lang w:eastAsia="es-UY"/>
        </w:rPr>
        <w:t>Operación vertical</w:t>
      </w:r>
      <w:r w:rsidRPr="005B11A3">
        <w:rPr>
          <w:rFonts w:ascii="Arial" w:eastAsia="Calibri" w:hAnsi="Arial" w:cs="Arial"/>
          <w:b/>
          <w:bCs/>
          <w:lang w:eastAsia="es-UY"/>
        </w:rPr>
        <w:t xml:space="preserve">: </w:t>
      </w:r>
      <w:r w:rsidRPr="005B11A3">
        <w:rPr>
          <w:rFonts w:ascii="Arial" w:eastAsia="Calibri" w:hAnsi="Arial" w:cs="Arial"/>
          <w:lang w:eastAsia="es-UY"/>
        </w:rPr>
        <w:t>Operación</w:t>
      </w:r>
      <w:r w:rsidRPr="005B11A3">
        <w:rPr>
          <w:rFonts w:ascii="Arial" w:eastAsia="Times New Roman" w:hAnsi="Arial" w:cs="Arial"/>
          <w:lang w:eastAsia="es-UY"/>
        </w:rPr>
        <w:t xml:space="preserve"> en la que intervienen empresas que </w:t>
      </w:r>
      <w:r w:rsidRPr="005B11A3">
        <w:rPr>
          <w:rFonts w:ascii="Arial" w:eastAsia="Times New Roman" w:hAnsi="Arial" w:cs="Arial"/>
          <w:bCs/>
          <w:lang w:eastAsia="es-UY"/>
        </w:rPr>
        <w:t>operan en distintos niveles de la cadena de valor</w:t>
      </w:r>
      <w:r w:rsidRPr="005B11A3">
        <w:rPr>
          <w:rFonts w:ascii="Arial" w:eastAsia="Times New Roman" w:hAnsi="Arial" w:cs="Arial"/>
          <w:lang w:eastAsia="es-UY"/>
        </w:rPr>
        <w:t xml:space="preserve"> (por ejemplo, una empresa productora y una distribuidora).</w:t>
      </w:r>
      <w:bookmarkEnd w:id="16"/>
    </w:p>
    <w:p w14:paraId="7E4B8657" w14:textId="77777777" w:rsidR="00671239" w:rsidRPr="005B11A3" w:rsidRDefault="00671239" w:rsidP="00671239">
      <w:pPr>
        <w:spacing w:before="100" w:beforeAutospacing="1" w:after="100" w:afterAutospacing="1" w:line="360" w:lineRule="auto"/>
        <w:jc w:val="both"/>
        <w:outlineLvl w:val="2"/>
        <w:rPr>
          <w:rFonts w:ascii="Arial" w:eastAsia="Calibri" w:hAnsi="Arial" w:cs="Arial"/>
          <w:lang w:eastAsia="es-UY"/>
        </w:rPr>
      </w:pPr>
      <w:bookmarkStart w:id="17" w:name="_Toc220937002"/>
      <w:bookmarkStart w:id="18" w:name="_Hlk213077788"/>
      <w:r w:rsidRPr="005B11A3">
        <w:rPr>
          <w:rFonts w:ascii="Arial" w:eastAsia="Calibri" w:hAnsi="Arial" w:cs="Arial"/>
          <w:b/>
          <w:lang w:eastAsia="es-UY"/>
        </w:rPr>
        <w:t xml:space="preserve">Operación de conglomerado: </w:t>
      </w:r>
      <w:r w:rsidRPr="005B11A3">
        <w:rPr>
          <w:rFonts w:ascii="Arial" w:eastAsia="Calibri" w:hAnsi="Arial" w:cs="Arial"/>
          <w:lang w:eastAsia="es-UY"/>
        </w:rPr>
        <w:t>Operación en la que los agentes participantes operan en mercados distintos, es decir, que no son competidores directos, ni operan en etapas diferentes de una misma cadena productiva o comercial.</w:t>
      </w:r>
      <w:bookmarkEnd w:id="17"/>
    </w:p>
    <w:p w14:paraId="326DAE11" w14:textId="77777777" w:rsidR="00671239" w:rsidRPr="005B11A3" w:rsidRDefault="00671239" w:rsidP="00671239">
      <w:pPr>
        <w:spacing w:before="100" w:beforeAutospacing="1" w:after="100" w:afterAutospacing="1" w:line="360" w:lineRule="auto"/>
        <w:jc w:val="both"/>
        <w:outlineLvl w:val="2"/>
        <w:rPr>
          <w:rFonts w:ascii="Arial" w:eastAsia="Times New Roman" w:hAnsi="Arial" w:cs="Arial"/>
          <w:lang w:eastAsia="es-UY"/>
        </w:rPr>
      </w:pPr>
      <w:bookmarkStart w:id="19" w:name="_Toc220937003"/>
      <w:bookmarkEnd w:id="18"/>
      <w:r w:rsidRPr="005B11A3">
        <w:rPr>
          <w:rFonts w:ascii="Arial" w:eastAsia="Times New Roman" w:hAnsi="Arial" w:cs="Arial"/>
          <w:b/>
          <w:bCs/>
          <w:lang w:eastAsia="es-UY"/>
        </w:rPr>
        <w:t>Competidores</w:t>
      </w:r>
      <w:r w:rsidRPr="005B11A3">
        <w:rPr>
          <w:rFonts w:ascii="Arial" w:eastAsia="Calibri" w:hAnsi="Arial" w:cs="Arial"/>
          <w:b/>
          <w:bCs/>
          <w:lang w:eastAsia="es-UY"/>
        </w:rPr>
        <w:t xml:space="preserve">: </w:t>
      </w:r>
      <w:r w:rsidRPr="005B11A3">
        <w:rPr>
          <w:rFonts w:ascii="Arial" w:eastAsia="Calibri" w:hAnsi="Arial" w:cs="Arial"/>
          <w:bCs/>
          <w:lang w:eastAsia="es-UY"/>
        </w:rPr>
        <w:t>A</w:t>
      </w:r>
      <w:r w:rsidRPr="005B11A3">
        <w:rPr>
          <w:rFonts w:ascii="Arial" w:eastAsia="Times New Roman" w:hAnsi="Arial" w:cs="Arial"/>
          <w:lang w:eastAsia="es-UY"/>
        </w:rPr>
        <w:t xml:space="preserve">gentes económicos que </w:t>
      </w:r>
      <w:r w:rsidRPr="005B11A3">
        <w:rPr>
          <w:rFonts w:ascii="Arial" w:eastAsia="Times New Roman" w:hAnsi="Arial" w:cs="Arial"/>
          <w:bCs/>
          <w:lang w:eastAsia="es-UY"/>
        </w:rPr>
        <w:t>ofrecen bienes o servicios dentro de un mismo mercado relevante</w:t>
      </w:r>
      <w:r w:rsidRPr="005B11A3">
        <w:rPr>
          <w:rFonts w:ascii="Arial" w:eastAsia="Times New Roman" w:hAnsi="Arial" w:cs="Arial"/>
          <w:lang w:eastAsia="es-UY"/>
        </w:rPr>
        <w:t>, ya sea de forma actual o potencial; abarca tanto a quienes participan efectivamente en el mercado (competencia actual) como a aquellos que podrían ingresar en condiciones razonables de tiempo, costo y probabilidad (competencia potencial).</w:t>
      </w:r>
      <w:bookmarkEnd w:id="19"/>
    </w:p>
    <w:p w14:paraId="34BBA2C2" w14:textId="77777777" w:rsidR="00671239" w:rsidRPr="005B11A3" w:rsidRDefault="00671239" w:rsidP="00671239">
      <w:pPr>
        <w:spacing w:before="100" w:beforeAutospacing="1" w:after="100" w:afterAutospacing="1" w:line="360" w:lineRule="auto"/>
        <w:jc w:val="both"/>
        <w:outlineLvl w:val="2"/>
        <w:rPr>
          <w:rFonts w:ascii="Arial" w:eastAsia="Times New Roman" w:hAnsi="Arial" w:cs="Arial"/>
          <w:lang w:eastAsia="es-UY"/>
        </w:rPr>
      </w:pPr>
      <w:bookmarkStart w:id="20" w:name="_Toc220937004"/>
      <w:r w:rsidRPr="005B11A3">
        <w:rPr>
          <w:rFonts w:ascii="Arial" w:eastAsia="Times New Roman" w:hAnsi="Arial" w:cs="Arial"/>
          <w:b/>
          <w:bCs/>
          <w:lang w:eastAsia="es-UY"/>
        </w:rPr>
        <w:t>Productos sustitutos</w:t>
      </w:r>
      <w:r w:rsidRPr="005B11A3">
        <w:rPr>
          <w:rFonts w:ascii="Arial" w:eastAsia="Calibri" w:hAnsi="Arial" w:cs="Arial"/>
          <w:b/>
          <w:bCs/>
          <w:lang w:eastAsia="es-UY"/>
        </w:rPr>
        <w:t xml:space="preserve">: </w:t>
      </w:r>
      <w:r w:rsidRPr="005B11A3">
        <w:rPr>
          <w:rFonts w:ascii="Arial" w:eastAsia="Calibri" w:hAnsi="Arial" w:cs="Arial"/>
          <w:bCs/>
          <w:lang w:eastAsia="es-UY"/>
        </w:rPr>
        <w:t>B</w:t>
      </w:r>
      <w:r w:rsidRPr="005B11A3">
        <w:rPr>
          <w:rFonts w:ascii="Arial" w:eastAsia="Times New Roman" w:hAnsi="Arial" w:cs="Arial"/>
          <w:lang w:eastAsia="es-UY"/>
        </w:rPr>
        <w:t xml:space="preserve">ienes o servicios que </w:t>
      </w:r>
      <w:r w:rsidRPr="005B11A3">
        <w:rPr>
          <w:rFonts w:ascii="Arial" w:eastAsia="Times New Roman" w:hAnsi="Arial" w:cs="Arial"/>
          <w:bCs/>
          <w:lang w:eastAsia="es-UY"/>
        </w:rPr>
        <w:t>satisfacen una misma necesidad o una necesidad similar</w:t>
      </w:r>
      <w:r w:rsidRPr="005B11A3">
        <w:rPr>
          <w:rFonts w:ascii="Arial" w:eastAsia="Times New Roman" w:hAnsi="Arial" w:cs="Arial"/>
          <w:lang w:eastAsia="es-UY"/>
        </w:rPr>
        <w:t xml:space="preserve"> del consumidor, de forma que </w:t>
      </w:r>
      <w:r w:rsidRPr="005B11A3">
        <w:rPr>
          <w:rFonts w:ascii="Arial" w:eastAsia="Times New Roman" w:hAnsi="Arial" w:cs="Arial"/>
          <w:bCs/>
          <w:lang w:eastAsia="es-UY"/>
        </w:rPr>
        <w:t>un aumento en el precio de uno tiende a desplazar la demanda hacia el otro</w:t>
      </w:r>
      <w:r w:rsidRPr="005B11A3">
        <w:rPr>
          <w:rFonts w:ascii="Arial" w:eastAsia="Times New Roman" w:hAnsi="Arial" w:cs="Arial"/>
          <w:lang w:eastAsia="es-UY"/>
        </w:rPr>
        <w:t>.</w:t>
      </w:r>
      <w:bookmarkEnd w:id="20"/>
    </w:p>
    <w:p w14:paraId="1D5FCB7D" w14:textId="77777777" w:rsidR="00671239" w:rsidRPr="005B11A3" w:rsidRDefault="00671239" w:rsidP="00671239">
      <w:pPr>
        <w:spacing w:before="100" w:beforeAutospacing="1" w:after="100" w:afterAutospacing="1" w:line="360" w:lineRule="auto"/>
        <w:jc w:val="both"/>
        <w:rPr>
          <w:rFonts w:ascii="Arial" w:eastAsia="Times New Roman" w:hAnsi="Arial" w:cs="Arial"/>
          <w:lang w:eastAsia="es-UY"/>
        </w:rPr>
      </w:pPr>
      <w:r w:rsidRPr="005B11A3">
        <w:rPr>
          <w:rFonts w:ascii="Arial" w:eastAsia="Times New Roman" w:hAnsi="Arial" w:cs="Arial"/>
          <w:lang w:eastAsia="es-UY"/>
        </w:rPr>
        <w:lastRenderedPageBreak/>
        <w:t xml:space="preserve">La sustitución puede producirse tanto a partir de la demanda (los consumidores eligen entre bienes alternativos) como a partir de la oferta (los productores pueden reconvertir su producción hacia bienes similares). </w:t>
      </w:r>
    </w:p>
    <w:p w14:paraId="7F0E3A2C" w14:textId="77777777" w:rsidR="00671239" w:rsidRPr="005B11A3" w:rsidRDefault="00671239" w:rsidP="00671239">
      <w:pPr>
        <w:spacing w:before="100" w:beforeAutospacing="1" w:after="100" w:afterAutospacing="1" w:line="360" w:lineRule="auto"/>
        <w:jc w:val="both"/>
        <w:outlineLvl w:val="2"/>
        <w:rPr>
          <w:rFonts w:ascii="Arial" w:eastAsia="Calibri" w:hAnsi="Arial" w:cs="Arial"/>
        </w:rPr>
      </w:pPr>
      <w:bookmarkStart w:id="21" w:name="_Toc220937005"/>
      <w:r w:rsidRPr="005B11A3">
        <w:rPr>
          <w:rFonts w:ascii="Arial" w:eastAsia="Times New Roman" w:hAnsi="Arial" w:cs="Arial"/>
          <w:b/>
          <w:bCs/>
          <w:lang w:eastAsia="es-UY"/>
        </w:rPr>
        <w:t>Barreras de entrada</w:t>
      </w:r>
      <w:r w:rsidRPr="005B11A3">
        <w:rPr>
          <w:rFonts w:ascii="Arial" w:eastAsia="Calibri" w:hAnsi="Arial" w:cs="Arial"/>
          <w:b/>
          <w:bCs/>
          <w:lang w:eastAsia="es-UY"/>
        </w:rPr>
        <w:t xml:space="preserve">:  </w:t>
      </w:r>
      <w:r w:rsidRPr="005B11A3">
        <w:rPr>
          <w:rFonts w:ascii="Arial" w:eastAsia="Calibri" w:hAnsi="Arial" w:cs="Arial"/>
          <w:bCs/>
          <w:lang w:eastAsia="es-UY"/>
        </w:rPr>
        <w:t xml:space="preserve">Obstáculos </w:t>
      </w:r>
      <w:r w:rsidRPr="005B11A3">
        <w:rPr>
          <w:rFonts w:ascii="Arial" w:eastAsia="Calibri" w:hAnsi="Arial" w:cs="Arial"/>
          <w:lang w:eastAsia="es-UY"/>
        </w:rPr>
        <w:t>estructurales (ej.: altos costos fijos, economías de escala, costos hundidos, acceso limitado a insumos esenciales e infraestructura, etc.), legales (ej.: licencias, cupos, regulaciones sectoriales restrictivas, etc.) o estratégicos (ej.: integración vertical, acuerdos de exclusividad, descuentos de fidelidad, control de canales de distribución, etc.) que dificultan o impiden el ingreso</w:t>
      </w:r>
      <w:r w:rsidRPr="005B11A3">
        <w:rPr>
          <w:rFonts w:ascii="Arial" w:eastAsia="Calibri" w:hAnsi="Arial" w:cs="Arial"/>
        </w:rPr>
        <w:t xml:space="preserve"> de nuevos agentes económicos a un mercado determinado o que lo hacen más costoso.</w:t>
      </w:r>
      <w:bookmarkEnd w:id="21"/>
    </w:p>
    <w:p w14:paraId="5FDA99ED" w14:textId="77777777" w:rsidR="00671239" w:rsidRPr="005B11A3" w:rsidRDefault="00671239" w:rsidP="00671239">
      <w:pPr>
        <w:spacing w:before="100" w:beforeAutospacing="1" w:after="100" w:afterAutospacing="1" w:line="360" w:lineRule="auto"/>
        <w:jc w:val="both"/>
        <w:rPr>
          <w:rFonts w:ascii="Arial" w:eastAsia="Times New Roman" w:hAnsi="Arial" w:cs="Arial"/>
          <w:lang w:eastAsia="es-UY"/>
        </w:rPr>
      </w:pPr>
      <w:r w:rsidRPr="005B11A3">
        <w:rPr>
          <w:rFonts w:ascii="Arial" w:eastAsia="Times New Roman" w:hAnsi="Arial" w:cs="Arial"/>
          <w:b/>
          <w:lang w:eastAsia="es-UY"/>
        </w:rPr>
        <w:t xml:space="preserve">Barreras de salida: </w:t>
      </w:r>
      <w:r w:rsidRPr="005B11A3">
        <w:rPr>
          <w:rFonts w:ascii="Arial" w:eastAsia="Times New Roman" w:hAnsi="Arial" w:cs="Arial"/>
          <w:lang w:eastAsia="es-UY"/>
        </w:rPr>
        <w:t>Factores que dificultan o encarecen la salida de una empresa del mercado, tales como costos hundidos elevados, contratos de largo plazo o restricciones normativas. Su relevancia radica en que incrementan el riesgo de entrada, ya que potenciales competidores deben considerar no solo el costo de ingreso, sino también la dificultad de abandonar el mercado si la operación no resulta rentable.</w:t>
      </w:r>
    </w:p>
    <w:p w14:paraId="60500152" w14:textId="77777777" w:rsidR="00671239" w:rsidRPr="005B11A3" w:rsidRDefault="00671239" w:rsidP="00671239">
      <w:pPr>
        <w:spacing w:before="100" w:beforeAutospacing="1" w:after="100" w:afterAutospacing="1" w:line="360" w:lineRule="auto"/>
        <w:jc w:val="both"/>
        <w:rPr>
          <w:rFonts w:ascii="Arial" w:eastAsia="Times New Roman" w:hAnsi="Arial" w:cs="Arial"/>
          <w:lang w:eastAsia="es-UY"/>
        </w:rPr>
      </w:pPr>
      <w:r w:rsidRPr="005B11A3">
        <w:rPr>
          <w:rFonts w:ascii="Arial" w:eastAsia="Times New Roman" w:hAnsi="Arial" w:cs="Arial"/>
          <w:b/>
          <w:bCs/>
          <w:lang w:eastAsia="es-UY"/>
        </w:rPr>
        <w:t xml:space="preserve">Ganancias de eficiencia: </w:t>
      </w:r>
      <w:r w:rsidRPr="005B11A3">
        <w:rPr>
          <w:rFonts w:ascii="Arial" w:eastAsia="Times New Roman" w:hAnsi="Arial" w:cs="Arial"/>
          <w:bCs/>
          <w:lang w:eastAsia="es-UY"/>
        </w:rPr>
        <w:t>M</w:t>
      </w:r>
      <w:r w:rsidRPr="005B11A3">
        <w:rPr>
          <w:rFonts w:ascii="Arial" w:eastAsia="Times New Roman" w:hAnsi="Arial" w:cs="Arial"/>
          <w:lang w:eastAsia="es-UY"/>
        </w:rPr>
        <w:t>ejoras objetivas en el desempeño económico, que resultan de una conducta empresarial o de una operación de concentración económica, y que pueden compensar —total o parcialmente— posibles efectos restrictivos sobre la competencia.</w:t>
      </w:r>
    </w:p>
    <w:p w14:paraId="784F9A07" w14:textId="77777777" w:rsidR="00671239" w:rsidRPr="005B11A3" w:rsidRDefault="00671239" w:rsidP="00671239">
      <w:pPr>
        <w:spacing w:before="100" w:beforeAutospacing="1" w:after="100" w:afterAutospacing="1" w:line="360" w:lineRule="auto"/>
        <w:jc w:val="both"/>
        <w:rPr>
          <w:rFonts w:ascii="Arial" w:eastAsia="Times New Roman" w:hAnsi="Arial" w:cs="Arial"/>
          <w:u w:val="single"/>
          <w:lang w:eastAsia="es-UY"/>
        </w:rPr>
      </w:pPr>
      <w:r w:rsidRPr="005B11A3">
        <w:rPr>
          <w:rFonts w:ascii="Arial" w:eastAsia="Times New Roman" w:hAnsi="Arial" w:cs="Arial"/>
          <w:lang w:eastAsia="es-UY"/>
        </w:rPr>
        <w:t>Pueden presentarse en las siguientes formas: e</w:t>
      </w:r>
      <w:r w:rsidRPr="005B11A3">
        <w:rPr>
          <w:rFonts w:ascii="Arial" w:eastAsia="Times New Roman" w:hAnsi="Arial" w:cs="Arial"/>
          <w:bCs/>
          <w:lang w:eastAsia="es-UY"/>
        </w:rPr>
        <w:t>ficiencias productivas (</w:t>
      </w:r>
      <w:r w:rsidRPr="005B11A3">
        <w:rPr>
          <w:rFonts w:ascii="Arial" w:eastAsia="Times New Roman" w:hAnsi="Arial" w:cs="Arial"/>
          <w:lang w:eastAsia="es-UY"/>
        </w:rPr>
        <w:t>reducción de costos unitarios de producción, economías de escala, optimización de procesos o eliminación de duplicaciones), e</w:t>
      </w:r>
      <w:r w:rsidRPr="005B11A3">
        <w:rPr>
          <w:rFonts w:ascii="Arial" w:eastAsia="Times New Roman" w:hAnsi="Arial" w:cs="Arial"/>
          <w:bCs/>
          <w:lang w:eastAsia="es-UY"/>
        </w:rPr>
        <w:t>ficiencias distributivas</w:t>
      </w:r>
      <w:r w:rsidRPr="005B11A3">
        <w:rPr>
          <w:rFonts w:ascii="Arial" w:eastAsia="Times New Roman" w:hAnsi="Arial" w:cs="Arial"/>
          <w:b/>
          <w:lang w:eastAsia="es-UY"/>
        </w:rPr>
        <w:t xml:space="preserve"> </w:t>
      </w:r>
      <w:r w:rsidRPr="005B11A3">
        <w:rPr>
          <w:rFonts w:ascii="Arial" w:eastAsia="Times New Roman" w:hAnsi="Arial" w:cs="Arial"/>
          <w:lang w:eastAsia="es-UY"/>
        </w:rPr>
        <w:t xml:space="preserve">(mejoras </w:t>
      </w:r>
      <w:r w:rsidRPr="005B11A3">
        <w:rPr>
          <w:rFonts w:ascii="Arial" w:eastAsia="Times New Roman" w:hAnsi="Arial" w:cs="Arial"/>
          <w:lang w:eastAsia="es-UY"/>
        </w:rPr>
        <w:lastRenderedPageBreak/>
        <w:t>logísticas, reducción de costos de transporte o almacenamiento, optimización de la red comercial) y e</w:t>
      </w:r>
      <w:r w:rsidRPr="005B11A3">
        <w:rPr>
          <w:rFonts w:ascii="Arial" w:eastAsia="Times New Roman" w:hAnsi="Arial" w:cs="Arial"/>
          <w:bCs/>
          <w:lang w:eastAsia="es-UY"/>
        </w:rPr>
        <w:t>ficiencias dinámicas</w:t>
      </w:r>
      <w:r w:rsidRPr="005B11A3">
        <w:rPr>
          <w:rFonts w:ascii="Arial" w:eastAsia="Times New Roman" w:hAnsi="Arial" w:cs="Arial"/>
          <w:b/>
          <w:lang w:eastAsia="es-UY"/>
        </w:rPr>
        <w:t xml:space="preserve"> </w:t>
      </w:r>
      <w:r w:rsidRPr="005B11A3">
        <w:rPr>
          <w:rFonts w:ascii="Arial" w:eastAsia="Times New Roman" w:hAnsi="Arial" w:cs="Arial"/>
          <w:lang w:eastAsia="es-UY"/>
        </w:rPr>
        <w:t>(innovación tecnológica, mejoras de calidad, desarrollo de nuevos productos o servicios, aceleración de procesos de inversión).</w:t>
      </w:r>
    </w:p>
    <w:p w14:paraId="20D4E652" w14:textId="77777777" w:rsidR="00671239" w:rsidRPr="005B11A3" w:rsidRDefault="00671239" w:rsidP="00671239">
      <w:pPr>
        <w:pStyle w:val="Prrafodelista"/>
        <w:numPr>
          <w:ilvl w:val="0"/>
          <w:numId w:val="42"/>
        </w:numPr>
        <w:spacing w:before="100" w:beforeAutospacing="1" w:after="100" w:afterAutospacing="1"/>
        <w:rPr>
          <w:rFonts w:eastAsia="Times New Roman"/>
          <w:b/>
          <w:lang w:eastAsia="es-UY"/>
        </w:rPr>
      </w:pPr>
      <w:r w:rsidRPr="005B11A3">
        <w:rPr>
          <w:rFonts w:eastAsia="Times New Roman"/>
          <w:b/>
          <w:u w:val="single"/>
          <w:lang w:eastAsia="es-UY"/>
        </w:rPr>
        <w:t>LINEAMIENTOS PARA LA EVALUACIÓN DEL IMPACTO COMPETITIVO DE LA OPERACIÓN DE CONCENTRACIÓN</w:t>
      </w:r>
    </w:p>
    <w:p w14:paraId="2294A14C" w14:textId="77777777" w:rsidR="00671239" w:rsidRPr="005B11A3" w:rsidRDefault="00671239" w:rsidP="00671239">
      <w:pPr>
        <w:pStyle w:val="Prrafodelista"/>
        <w:numPr>
          <w:ilvl w:val="1"/>
          <w:numId w:val="42"/>
        </w:numPr>
        <w:spacing w:before="100" w:beforeAutospacing="1" w:after="100" w:afterAutospacing="1"/>
        <w:rPr>
          <w:rFonts w:eastAsia="Times New Roman"/>
          <w:b/>
          <w:lang w:eastAsia="es-UY"/>
        </w:rPr>
      </w:pPr>
      <w:r w:rsidRPr="005B11A3">
        <w:rPr>
          <w:rFonts w:eastAsia="Times New Roman"/>
          <w:bCs/>
          <w:lang w:eastAsia="es-UY"/>
        </w:rPr>
        <w:t>El Punto 5.6 del Formulario requiere que los participantes realicen</w:t>
      </w:r>
      <w:r w:rsidRPr="005B11A3">
        <w:rPr>
          <w:rFonts w:eastAsia="Times New Roman"/>
          <w:bCs/>
          <w:i/>
          <w:iCs/>
          <w:lang w:eastAsia="es-UY"/>
        </w:rPr>
        <w:t xml:space="preserve"> “una evaluación del impacto competitivo de la operación de concentración, describiendo los efectos previsibles sobre la competencia en los mercados relevantes definidos, así como los principales riesgos competitivos identificados y los elementos que podrían disciplinar o mitigar dichos efectos, conforme a lo previsto en la Guía de Análisis Económico de Concentraciones Económicas”.</w:t>
      </w:r>
      <w:r w:rsidRPr="005B11A3">
        <w:rPr>
          <w:rFonts w:eastAsia="Times New Roman"/>
          <w:bCs/>
          <w:lang w:eastAsia="es-UY"/>
        </w:rPr>
        <w:t xml:space="preserve"> En ese contexto, se formulan una serie de lineamientos que orientan la elaboración del análisis de impacto competitivo. </w:t>
      </w:r>
    </w:p>
    <w:p w14:paraId="3AFC9B5B" w14:textId="77777777" w:rsidR="00671239" w:rsidRPr="005B11A3" w:rsidRDefault="00671239" w:rsidP="005B11A3">
      <w:pPr>
        <w:pStyle w:val="Prrafodelista"/>
        <w:numPr>
          <w:ilvl w:val="0"/>
          <w:numId w:val="0"/>
        </w:numPr>
        <w:spacing w:before="100" w:beforeAutospacing="1" w:after="100" w:afterAutospacing="1"/>
        <w:ind w:left="1080"/>
        <w:rPr>
          <w:rFonts w:eastAsia="Times New Roman"/>
          <w:b/>
          <w:lang w:eastAsia="es-UY"/>
        </w:rPr>
      </w:pPr>
    </w:p>
    <w:p w14:paraId="07E0B520" w14:textId="36CEF557" w:rsidR="00671239" w:rsidRPr="005B11A3" w:rsidRDefault="00671239" w:rsidP="00671239">
      <w:pPr>
        <w:pStyle w:val="Prrafodelista"/>
        <w:numPr>
          <w:ilvl w:val="1"/>
          <w:numId w:val="42"/>
        </w:numPr>
        <w:spacing w:before="100" w:beforeAutospacing="1" w:after="100" w:afterAutospacing="1"/>
        <w:rPr>
          <w:rFonts w:eastAsia="Times New Roman"/>
          <w:b/>
          <w:lang w:eastAsia="es-UY"/>
        </w:rPr>
      </w:pPr>
      <w:r w:rsidRPr="005B11A3">
        <w:rPr>
          <w:rFonts w:eastAsia="Times New Roman"/>
          <w:bCs/>
          <w:lang w:eastAsia="es-UY"/>
        </w:rPr>
        <w:t>El análisis competitivo de la operación se estructurará en etapas, que incluyen:</w:t>
      </w:r>
    </w:p>
    <w:p w14:paraId="3CA6D323" w14:textId="77777777" w:rsidR="005B11A3" w:rsidRPr="005B11A3" w:rsidRDefault="005B11A3" w:rsidP="005B11A3">
      <w:pPr>
        <w:pStyle w:val="Prrafodelista"/>
        <w:numPr>
          <w:ilvl w:val="0"/>
          <w:numId w:val="0"/>
        </w:numPr>
        <w:ind w:left="644"/>
        <w:rPr>
          <w:rFonts w:eastAsia="Times New Roman"/>
          <w:b/>
          <w:lang w:eastAsia="es-UY"/>
        </w:rPr>
      </w:pPr>
    </w:p>
    <w:p w14:paraId="52912F8A" w14:textId="77777777" w:rsidR="00671239" w:rsidRPr="005B11A3" w:rsidRDefault="00671239" w:rsidP="00671239">
      <w:pPr>
        <w:pStyle w:val="Prrafodelista"/>
        <w:numPr>
          <w:ilvl w:val="0"/>
          <w:numId w:val="44"/>
        </w:numPr>
        <w:spacing w:before="100" w:beforeAutospacing="1" w:after="100" w:afterAutospacing="1"/>
        <w:rPr>
          <w:rFonts w:eastAsia="Times New Roman"/>
          <w:b/>
          <w:lang w:eastAsia="es-UY"/>
        </w:rPr>
      </w:pPr>
      <w:r w:rsidRPr="005B11A3">
        <w:rPr>
          <w:rFonts w:eastAsia="Times New Roman"/>
          <w:b/>
          <w:u w:val="single"/>
          <w:lang w:eastAsia="es-UY"/>
        </w:rPr>
        <w:t>Definición del o de los mercados relevantes de producto y geográfico en los que tiene lugar la operación de concentración</w:t>
      </w:r>
      <w:r w:rsidRPr="005B11A3">
        <w:rPr>
          <w:rFonts w:eastAsia="Times New Roman"/>
          <w:bCs/>
          <w:lang w:eastAsia="es-UY"/>
        </w:rPr>
        <w:t>.</w:t>
      </w:r>
    </w:p>
    <w:p w14:paraId="26D9B3B3" w14:textId="77777777" w:rsidR="00671239" w:rsidRPr="005B11A3" w:rsidRDefault="00671239" w:rsidP="00671239">
      <w:pPr>
        <w:pStyle w:val="Prrafodelista"/>
        <w:numPr>
          <w:ilvl w:val="0"/>
          <w:numId w:val="45"/>
        </w:numPr>
        <w:spacing w:before="100" w:beforeAutospacing="1" w:after="100" w:afterAutospacing="1"/>
        <w:rPr>
          <w:rFonts w:eastAsia="Times New Roman"/>
          <w:b/>
          <w:lang w:eastAsia="es-UY"/>
        </w:rPr>
      </w:pPr>
      <w:r w:rsidRPr="005B11A3">
        <w:rPr>
          <w:rFonts w:eastAsia="Times New Roman"/>
          <w:bCs/>
          <w:lang w:eastAsia="es-UY"/>
        </w:rPr>
        <w:t>Explicación breve de los criterios utilizados para la delimitación del mercado;</w:t>
      </w:r>
    </w:p>
    <w:p w14:paraId="08CFA974" w14:textId="77777777" w:rsidR="00671239" w:rsidRPr="005B11A3" w:rsidRDefault="00671239" w:rsidP="00671239">
      <w:pPr>
        <w:pStyle w:val="Prrafodelista"/>
        <w:numPr>
          <w:ilvl w:val="0"/>
          <w:numId w:val="45"/>
        </w:numPr>
        <w:spacing w:before="100" w:beforeAutospacing="1" w:after="100" w:afterAutospacing="1"/>
        <w:rPr>
          <w:rFonts w:eastAsia="Times New Roman"/>
          <w:b/>
          <w:lang w:eastAsia="es-UY"/>
        </w:rPr>
      </w:pPr>
      <w:r w:rsidRPr="005B11A3">
        <w:rPr>
          <w:rFonts w:eastAsia="Times New Roman"/>
          <w:bCs/>
          <w:lang w:eastAsia="es-UY"/>
        </w:rPr>
        <w:lastRenderedPageBreak/>
        <w:t>Evaluación de la operación bajo las definiciones de mercado ya sean de producto o geográficas, alternativas;</w:t>
      </w:r>
    </w:p>
    <w:p w14:paraId="21A48F4C" w14:textId="77777777" w:rsidR="00671239" w:rsidRPr="005B11A3" w:rsidRDefault="00671239" w:rsidP="00671239">
      <w:pPr>
        <w:pStyle w:val="Prrafodelista"/>
        <w:numPr>
          <w:ilvl w:val="0"/>
          <w:numId w:val="45"/>
        </w:numPr>
        <w:spacing w:before="100" w:beforeAutospacing="1" w:after="100" w:afterAutospacing="1"/>
        <w:rPr>
          <w:rFonts w:eastAsia="Times New Roman"/>
          <w:b/>
          <w:lang w:eastAsia="es-UY"/>
        </w:rPr>
      </w:pPr>
      <w:r w:rsidRPr="005B11A3">
        <w:rPr>
          <w:rFonts w:eastAsia="Times New Roman"/>
          <w:bCs/>
          <w:lang w:eastAsia="es-UY"/>
        </w:rPr>
        <w:t>En ausencia de datos cualitativos confiables, utilización de información cualitativa, tales como la descripción del producto o servicio, sus usos y características, la forma en que las propias empresas identifican a sus competidores (a este fin se puede incluir información interna con que cuentan las empresas y antecedentes de decisiones de autoridades de competencia homólogas en terceros países);</w:t>
      </w:r>
    </w:p>
    <w:p w14:paraId="411A2D60" w14:textId="77777777" w:rsidR="00671239" w:rsidRPr="005B11A3" w:rsidRDefault="00671239" w:rsidP="00671239">
      <w:pPr>
        <w:pStyle w:val="Prrafodelista"/>
        <w:numPr>
          <w:ilvl w:val="0"/>
          <w:numId w:val="44"/>
        </w:numPr>
        <w:spacing w:before="100" w:beforeAutospacing="1" w:after="100" w:afterAutospacing="1"/>
        <w:rPr>
          <w:rFonts w:eastAsia="Times New Roman"/>
          <w:b/>
          <w:lang w:eastAsia="es-UY"/>
        </w:rPr>
      </w:pPr>
      <w:r w:rsidRPr="005B11A3">
        <w:rPr>
          <w:rFonts w:eastAsia="Times New Roman"/>
          <w:b/>
          <w:u w:val="single"/>
          <w:lang w:eastAsia="es-UY"/>
        </w:rPr>
        <w:t>Explicar la estructura del mercado y su nivel de concentración.</w:t>
      </w:r>
      <w:r w:rsidRPr="005B11A3">
        <w:rPr>
          <w:rFonts w:eastAsia="Times New Roman"/>
          <w:bCs/>
          <w:lang w:eastAsia="es-UY"/>
        </w:rPr>
        <w:t xml:space="preserve"> El análisis deberá describir los participantes del mercado, sus participaciones de mercado, el grado de concentración existente y la presencia de competidores relevantes, marginales o </w:t>
      </w:r>
      <w:proofErr w:type="spellStart"/>
      <w:r w:rsidRPr="005B11A3">
        <w:rPr>
          <w:rFonts w:eastAsia="Times New Roman"/>
          <w:bCs/>
          <w:i/>
          <w:iCs/>
          <w:lang w:eastAsia="es-UY"/>
        </w:rPr>
        <w:t>mavericks</w:t>
      </w:r>
      <w:proofErr w:type="spellEnd"/>
      <w:r w:rsidRPr="005B11A3">
        <w:rPr>
          <w:rFonts w:eastAsia="Times New Roman"/>
          <w:bCs/>
          <w:lang w:eastAsia="es-UY"/>
        </w:rPr>
        <w:t xml:space="preserve">. </w:t>
      </w:r>
    </w:p>
    <w:p w14:paraId="244BA2C1" w14:textId="77777777" w:rsidR="00671239" w:rsidRPr="005B11A3" w:rsidRDefault="00671239" w:rsidP="00671239">
      <w:pPr>
        <w:pStyle w:val="Prrafodelista"/>
        <w:numPr>
          <w:ilvl w:val="0"/>
          <w:numId w:val="44"/>
        </w:numPr>
        <w:spacing w:before="100" w:beforeAutospacing="1" w:after="100" w:afterAutospacing="1"/>
        <w:rPr>
          <w:rFonts w:eastAsia="Times New Roman"/>
          <w:bCs/>
          <w:lang w:eastAsia="es-UY"/>
        </w:rPr>
      </w:pPr>
      <w:r w:rsidRPr="005B11A3">
        <w:rPr>
          <w:rFonts w:eastAsia="Times New Roman"/>
          <w:b/>
          <w:u w:val="single"/>
          <w:lang w:eastAsia="es-UY"/>
        </w:rPr>
        <w:t>Identificación de las teorías del daño plausibles, según el tipo de concentración de que se trate (horizontal, vertical o de conglomerado);</w:t>
      </w:r>
      <w:r w:rsidRPr="005B11A3">
        <w:rPr>
          <w:rFonts w:eastAsia="Times New Roman"/>
          <w:bCs/>
          <w:lang w:eastAsia="es-UY"/>
        </w:rPr>
        <w:t xml:space="preserve"> enfocando el análisis exclusivamente en los riesgos competitivos relevantes para el tipo de operación, evitando desarrollos genéricos (por ejemplo, efectos unilaterales, efectos coordinados, riesgos de exclusión, apalancamiento de poder de mercado);</w:t>
      </w:r>
    </w:p>
    <w:p w14:paraId="04AF88A7" w14:textId="77777777" w:rsidR="00671239" w:rsidRPr="005B11A3" w:rsidRDefault="00671239" w:rsidP="00671239">
      <w:pPr>
        <w:pStyle w:val="Prrafodelista"/>
        <w:numPr>
          <w:ilvl w:val="0"/>
          <w:numId w:val="44"/>
        </w:numPr>
        <w:spacing w:before="100" w:beforeAutospacing="1" w:after="100" w:afterAutospacing="1"/>
        <w:rPr>
          <w:rFonts w:eastAsia="Times New Roman"/>
          <w:bCs/>
          <w:lang w:eastAsia="es-UY"/>
        </w:rPr>
      </w:pPr>
      <w:r w:rsidRPr="005B11A3">
        <w:rPr>
          <w:rFonts w:eastAsia="Times New Roman"/>
          <w:b/>
          <w:u w:val="single"/>
          <w:lang w:eastAsia="es-UY"/>
        </w:rPr>
        <w:t>Descripción de los factores que disciplinan o mitigan los riesgos:</w:t>
      </w:r>
      <w:r w:rsidRPr="005B11A3">
        <w:rPr>
          <w:rFonts w:eastAsia="Times New Roman"/>
          <w:bCs/>
          <w:lang w:eastAsia="es-UY"/>
        </w:rPr>
        <w:t xml:space="preserve"> deberán exponerse los elementos que puedan limitar el ejercicio de poder de mercado, tales como: poder compensatorio de la </w:t>
      </w:r>
      <w:r w:rsidRPr="005B11A3">
        <w:rPr>
          <w:rFonts w:eastAsia="Times New Roman"/>
          <w:bCs/>
          <w:lang w:eastAsia="es-UY"/>
        </w:rPr>
        <w:lastRenderedPageBreak/>
        <w:t>demanda, existencia de alternativas de oferta efectivas, costos de cambio, probabilidad, oportunidad y suficiencia de la entrada o expansión de competidores, competencia proveniente de importaciones.</w:t>
      </w:r>
    </w:p>
    <w:p w14:paraId="5D1A2D88" w14:textId="77777777" w:rsidR="00671239" w:rsidRPr="005B11A3" w:rsidRDefault="00671239" w:rsidP="00671239">
      <w:pPr>
        <w:pStyle w:val="Prrafodelista"/>
        <w:numPr>
          <w:ilvl w:val="0"/>
          <w:numId w:val="44"/>
        </w:numPr>
        <w:spacing w:before="100" w:beforeAutospacing="1" w:after="100" w:afterAutospacing="1"/>
        <w:rPr>
          <w:rFonts w:eastAsia="Times New Roman"/>
          <w:bCs/>
          <w:lang w:eastAsia="es-UY"/>
        </w:rPr>
      </w:pPr>
      <w:r w:rsidRPr="005B11A3">
        <w:rPr>
          <w:rFonts w:eastAsia="Times New Roman"/>
          <w:b/>
          <w:u w:val="single"/>
          <w:lang w:eastAsia="es-UY"/>
        </w:rPr>
        <w:t>Eficiencias</w:t>
      </w:r>
      <w:r w:rsidRPr="005B11A3">
        <w:rPr>
          <w:rFonts w:eastAsia="Times New Roman"/>
          <w:bCs/>
          <w:lang w:eastAsia="es-UY"/>
        </w:rPr>
        <w:t>, cuando se invoquen, deberán ser específicas de la operación, verificables, traspasables a los consumidores, y presentarse con un grado razonable de sustento fáctico.</w:t>
      </w:r>
    </w:p>
    <w:p w14:paraId="5051A374" w14:textId="77777777" w:rsidR="00671239" w:rsidRPr="005B11A3" w:rsidRDefault="00671239" w:rsidP="005B11A3">
      <w:pPr>
        <w:pStyle w:val="Prrafodelista"/>
        <w:numPr>
          <w:ilvl w:val="0"/>
          <w:numId w:val="0"/>
        </w:numPr>
        <w:spacing w:before="100" w:beforeAutospacing="1" w:after="100" w:afterAutospacing="1"/>
        <w:ind w:left="644"/>
        <w:rPr>
          <w:rFonts w:eastAsia="Times New Roman"/>
          <w:bCs/>
          <w:lang w:eastAsia="es-UY"/>
        </w:rPr>
      </w:pPr>
    </w:p>
    <w:p w14:paraId="66F88C4E" w14:textId="77777777" w:rsidR="00671239" w:rsidRPr="005B11A3" w:rsidRDefault="00671239" w:rsidP="00671239">
      <w:pPr>
        <w:pStyle w:val="Prrafodelista"/>
        <w:numPr>
          <w:ilvl w:val="1"/>
          <w:numId w:val="42"/>
        </w:numPr>
        <w:spacing w:before="100" w:beforeAutospacing="1" w:after="100" w:afterAutospacing="1"/>
        <w:rPr>
          <w:rFonts w:eastAsia="Times New Roman"/>
          <w:b/>
          <w:lang w:eastAsia="es-UY"/>
        </w:rPr>
      </w:pPr>
      <w:r w:rsidRPr="005B11A3">
        <w:rPr>
          <w:rFonts w:eastAsia="Times New Roman"/>
          <w:bCs/>
          <w:lang w:eastAsia="es-UY"/>
        </w:rPr>
        <w:t xml:space="preserve">En definitiva, el análisis deberá ser claro y estructurado, basarse en información verificable, y evitar afirmaciones genéricas carentes de sustento. </w:t>
      </w:r>
    </w:p>
    <w:p w14:paraId="682B6D24" w14:textId="77777777" w:rsidR="00671239" w:rsidRPr="005B11A3" w:rsidRDefault="00671239" w:rsidP="00671239">
      <w:pPr>
        <w:spacing w:line="360" w:lineRule="auto"/>
        <w:jc w:val="both"/>
        <w:rPr>
          <w:rFonts w:ascii="Arial" w:hAnsi="Arial" w:cs="Arial"/>
          <w:u w:val="single"/>
        </w:rPr>
      </w:pPr>
    </w:p>
    <w:p w14:paraId="6506F1FE" w14:textId="77777777" w:rsidR="00671239" w:rsidRPr="005B11A3" w:rsidRDefault="00671239" w:rsidP="00671239">
      <w:pPr>
        <w:spacing w:line="360" w:lineRule="auto"/>
        <w:jc w:val="both"/>
        <w:rPr>
          <w:rFonts w:ascii="Arial" w:hAnsi="Arial" w:cs="Arial"/>
          <w:b/>
          <w:bCs/>
        </w:rPr>
      </w:pPr>
    </w:p>
    <w:p w14:paraId="567E7709" w14:textId="77777777" w:rsidR="00671239" w:rsidRPr="005B11A3" w:rsidRDefault="00671239" w:rsidP="00671239">
      <w:pPr>
        <w:spacing w:line="360" w:lineRule="auto"/>
        <w:jc w:val="both"/>
        <w:rPr>
          <w:rFonts w:ascii="Arial" w:hAnsi="Arial" w:cs="Arial"/>
          <w:b/>
          <w:bCs/>
        </w:rPr>
      </w:pPr>
    </w:p>
    <w:p w14:paraId="7B9526B0" w14:textId="77777777" w:rsidR="00671239" w:rsidRPr="005B11A3" w:rsidRDefault="00671239" w:rsidP="00980663">
      <w:pPr>
        <w:shd w:val="clear" w:color="auto" w:fill="FFFFFF"/>
        <w:spacing w:after="150"/>
        <w:ind w:left="644" w:hanging="360"/>
        <w:rPr>
          <w:rFonts w:ascii="Arial" w:hAnsi="Arial" w:cs="Arial"/>
        </w:rPr>
      </w:pPr>
    </w:p>
    <w:sectPr w:rsidR="00671239" w:rsidRPr="005B11A3" w:rsidSect="00302CE0">
      <w:headerReference w:type="default" r:id="rId9"/>
      <w:footerReference w:type="default" r:id="rId10"/>
      <w:headerReference w:type="first" r:id="rId11"/>
      <w:pgSz w:w="11906" w:h="16838"/>
      <w:pgMar w:top="1417" w:right="1701" w:bottom="1417"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94CBAF" w16cex:dateUtc="2026-01-30T06:09:00Z"/>
  <w16cex:commentExtensible w16cex:durableId="0D145D30" w16cex:dateUtc="2026-01-30T04:22:00Z"/>
  <w16cex:commentExtensible w16cex:durableId="1C18C1F2" w16cex:dateUtc="2026-01-30T04:30:00Z"/>
  <w16cex:commentExtensible w16cex:durableId="6FB5DC1C" w16cex:dateUtc="2026-01-30T03:49:00Z"/>
  <w16cex:commentExtensible w16cex:durableId="319D9B68" w16cex:dateUtc="2026-01-30T04:44:00Z"/>
  <w16cex:commentExtensible w16cex:durableId="1124CBCE" w16cex:dateUtc="2026-01-30T06: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4B81C" w14:textId="77777777" w:rsidR="00673D18" w:rsidRDefault="00673D18" w:rsidP="0002533E">
      <w:pPr>
        <w:spacing w:after="0" w:line="240" w:lineRule="auto"/>
      </w:pPr>
      <w:r>
        <w:separator/>
      </w:r>
    </w:p>
  </w:endnote>
  <w:endnote w:type="continuationSeparator" w:id="0">
    <w:p w14:paraId="2DB9DBAA" w14:textId="77777777" w:rsidR="00673D18" w:rsidRDefault="00673D18" w:rsidP="00025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NewPSMT">
    <w:altName w:val="Courier New"/>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9737700"/>
      <w:docPartObj>
        <w:docPartGallery w:val="Page Numbers (Bottom of Page)"/>
        <w:docPartUnique/>
      </w:docPartObj>
    </w:sdtPr>
    <w:sdtEndPr/>
    <w:sdtContent>
      <w:p w14:paraId="4C5B2990" w14:textId="3E06A87A" w:rsidR="00673D18" w:rsidRDefault="00673D18">
        <w:pPr>
          <w:pStyle w:val="Piedepgina"/>
        </w:pPr>
        <w:r>
          <w:rPr>
            <w:noProof/>
          </w:rPr>
          <mc:AlternateContent>
            <mc:Choice Requires="wps">
              <w:drawing>
                <wp:anchor distT="0" distB="0" distL="114300" distR="114300" simplePos="0" relativeHeight="251659264" behindDoc="0" locked="0" layoutInCell="1" allowOverlap="1" wp14:anchorId="656AE9D7" wp14:editId="109CC9FB">
                  <wp:simplePos x="0" y="0"/>
                  <wp:positionH relativeFrom="rightMargin">
                    <wp:align>center</wp:align>
                  </wp:positionH>
                  <wp:positionV relativeFrom="bottomMargin">
                    <wp:align>center</wp:align>
                  </wp:positionV>
                  <wp:extent cx="561975" cy="561975"/>
                  <wp:effectExtent l="9525" t="9525" r="9525" b="9525"/>
                  <wp:wrapNone/>
                  <wp:docPr id="2083824648" name="Elips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noFill/>
                          <a:ln w="12700">
                            <a:solidFill>
                              <a:srgbClr val="ADC1D9"/>
                            </a:solidFill>
                            <a:round/>
                            <a:headEnd/>
                            <a:tailEnd/>
                          </a:ln>
                          <a:extLst>
                            <a:ext uri="{909E8E84-426E-40DD-AFC4-6F175D3DCCD1}">
                              <a14:hiddenFill xmlns:a14="http://schemas.microsoft.com/office/drawing/2010/main">
                                <a:solidFill>
                                  <a:srgbClr val="C0504D"/>
                                </a:solidFill>
                              </a14:hiddenFill>
                            </a:ext>
                          </a:extLst>
                        </wps:spPr>
                        <wps:txbx>
                          <w:txbxContent>
                            <w:p w14:paraId="5199DA63" w14:textId="77777777" w:rsidR="00673D18" w:rsidRDefault="00673D18">
                              <w:pPr>
                                <w:pStyle w:val="Piedepgina"/>
                                <w:rPr>
                                  <w:color w:val="4F81BD" w:themeColor="accent1"/>
                                </w:rPr>
                              </w:pPr>
                              <w:r>
                                <w:fldChar w:fldCharType="begin"/>
                              </w:r>
                              <w:r>
                                <w:instrText>PAGE  \* MERGEFORMAT</w:instrText>
                              </w:r>
                              <w:r>
                                <w:fldChar w:fldCharType="separate"/>
                              </w:r>
                              <w:r>
                                <w:rPr>
                                  <w:color w:val="4F81BD" w:themeColor="accent1"/>
                                </w:rPr>
                                <w:t>2</w:t>
                              </w:r>
                              <w:r>
                                <w:rPr>
                                  <w:color w:val="4F81BD" w:themeColor="accent1"/>
                                </w:rPr>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w14:anchorId="656AE9D7" id="Elipse 1" o:spid="_x0000_s1026" style="position:absolute;margin-left:0;margin-top:0;width:44.25pt;height:44.25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" filled="f" fillcolor="#c0504d" strokecolor="#adc1d9" strokeweight="1pt">
                  <v:textbox inset=",0,,0">
                    <w:txbxContent>
                      <w:p w14:paraId="5199DA63" w14:textId="77777777" w:rsidR="00673D18" w:rsidRDefault="00673D18">
                        <w:pPr>
                          <w:pStyle w:val="Piedepgina"/>
                          <w:rPr>
                            <w:color w:val="4F81BD" w:themeColor="accent1"/>
                          </w:rPr>
                        </w:pPr>
                        <w:r>
                          <w:fldChar w:fldCharType="begin"/>
                        </w:r>
                        <w:r>
                          <w:instrText>PAGE  \* MERGEFORMAT</w:instrText>
                        </w:r>
                        <w:r>
                          <w:fldChar w:fldCharType="separate"/>
                        </w:r>
                        <w:r>
                          <w:rPr>
                            <w:color w:val="4F81BD" w:themeColor="accent1"/>
                          </w:rPr>
                          <w:t>2</w:t>
                        </w:r>
                        <w:r>
                          <w:rPr>
                            <w:color w:val="4F81BD" w:themeColor="accent1"/>
                          </w:rPr>
                          <w:fldChar w:fldCharType="end"/>
                        </w:r>
                      </w:p>
                    </w:txbxContent>
                  </v:textbox>
                  <w10:wrap anchorx="margin" anchory="margin"/>
                </v:oval>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90E1D" w14:textId="77777777" w:rsidR="00673D18" w:rsidRDefault="00673D18" w:rsidP="0002533E">
      <w:pPr>
        <w:spacing w:after="0" w:line="240" w:lineRule="auto"/>
      </w:pPr>
      <w:r>
        <w:separator/>
      </w:r>
    </w:p>
  </w:footnote>
  <w:footnote w:type="continuationSeparator" w:id="0">
    <w:p w14:paraId="4E1DBADD" w14:textId="77777777" w:rsidR="00673D18" w:rsidRDefault="00673D18" w:rsidP="0002533E">
      <w:pPr>
        <w:spacing w:after="0" w:line="240" w:lineRule="auto"/>
      </w:pPr>
      <w:r>
        <w:continuationSeparator/>
      </w:r>
    </w:p>
  </w:footnote>
  <w:footnote w:id="1">
    <w:p w14:paraId="1ADB92F7" w14:textId="40FB002E" w:rsidR="00673D18" w:rsidRPr="001C41E4" w:rsidRDefault="00673D18" w:rsidP="001C41E4">
      <w:pPr>
        <w:pStyle w:val="Textonotapie"/>
        <w:ind w:left="0"/>
        <w:jc w:val="both"/>
        <w:rPr>
          <w:rFonts w:ascii="Arial" w:hAnsi="Arial" w:cs="Arial"/>
          <w:highlight w:val="yellow"/>
          <w:lang w:val="es-UY"/>
        </w:rPr>
      </w:pPr>
      <w:r w:rsidRPr="005B11A3">
        <w:rPr>
          <w:rStyle w:val="Refdenotaalpie"/>
          <w:rFonts w:ascii="Arial" w:hAnsi="Arial" w:cs="Arial"/>
          <w:sz w:val="18"/>
        </w:rPr>
        <w:footnoteRef/>
      </w:r>
      <w:r w:rsidRPr="005B11A3">
        <w:rPr>
          <w:rFonts w:ascii="Arial" w:hAnsi="Arial" w:cs="Arial"/>
          <w:sz w:val="18"/>
        </w:rPr>
        <w:t xml:space="preserve"> Artículo 7 de la Ley No. 18.159. </w:t>
      </w:r>
    </w:p>
  </w:footnote>
  <w:footnote w:id="2">
    <w:p w14:paraId="186C3CEF" w14:textId="48D5E991" w:rsidR="00673D18" w:rsidRPr="005B11A3" w:rsidRDefault="00673D18" w:rsidP="00912A70">
      <w:pPr>
        <w:pStyle w:val="Textonotapie"/>
        <w:ind w:left="0"/>
        <w:jc w:val="both"/>
        <w:rPr>
          <w:rFonts w:ascii="Arial" w:hAnsi="Arial" w:cs="Arial"/>
          <w:sz w:val="18"/>
          <w:highlight w:val="yellow"/>
        </w:rPr>
      </w:pPr>
      <w:r w:rsidRPr="005B11A3">
        <w:rPr>
          <w:rStyle w:val="Refdenotaalpie"/>
          <w:rFonts w:ascii="Arial" w:hAnsi="Arial" w:cs="Arial"/>
          <w:sz w:val="18"/>
        </w:rPr>
        <w:footnoteRef/>
      </w:r>
      <w:r w:rsidRPr="005B11A3">
        <w:rPr>
          <w:rFonts w:ascii="Arial" w:hAnsi="Arial" w:cs="Arial"/>
          <w:sz w:val="18"/>
        </w:rPr>
        <w:t xml:space="preserve"> Debe tenerse presente que las reorganizaciones internas, dentro de un mismo grupo empresarial, no constituyen cambio de control, por lo que no se reportan a COPRODEC (criterio adoptado en Informe No. 156/2022 de fecha 10 de agosto de 2022 en Asunto No. 2022-05-150-39). </w:t>
      </w:r>
    </w:p>
  </w:footnote>
  <w:footnote w:id="3">
    <w:p w14:paraId="496D3D51" w14:textId="4DDD4D18" w:rsidR="00673D18" w:rsidRPr="005B11A3" w:rsidRDefault="00673D18" w:rsidP="001C41E4">
      <w:pPr>
        <w:pStyle w:val="Textonotapie"/>
        <w:ind w:left="0"/>
        <w:jc w:val="both"/>
        <w:rPr>
          <w:rFonts w:ascii="Arial" w:hAnsi="Arial" w:cs="Arial"/>
          <w:i/>
          <w:iCs/>
          <w:sz w:val="18"/>
          <w:lang w:val="es-UY"/>
        </w:rPr>
      </w:pPr>
      <w:r w:rsidRPr="005B11A3">
        <w:rPr>
          <w:rStyle w:val="Refdenotaalpie"/>
          <w:rFonts w:ascii="Arial" w:hAnsi="Arial" w:cs="Arial"/>
          <w:sz w:val="18"/>
        </w:rPr>
        <w:footnoteRef/>
      </w:r>
      <w:r w:rsidRPr="005B11A3">
        <w:rPr>
          <w:rFonts w:ascii="Arial" w:hAnsi="Arial" w:cs="Arial"/>
          <w:sz w:val="18"/>
        </w:rPr>
        <w:t xml:space="preserve"> Este requisito deriva de lo dispuesto en el artículo 3 de la Ley No. 18.159, que somete a la LDC, a todas las actividades económicas desarrolladas en el territorio uruguayo y, asimismo, a aquellas realizadas en el extranjero en la medida en que produzcan efectos en el territorio nacional. En efecto, según el artículo 3 de la Ley 18.159 </w:t>
      </w:r>
      <w:r w:rsidRPr="005B11A3">
        <w:rPr>
          <w:rFonts w:ascii="Arial" w:hAnsi="Arial" w:cs="Arial"/>
          <w:i/>
          <w:iCs/>
          <w:sz w:val="18"/>
        </w:rPr>
        <w:t xml:space="preserve">“(Ámbito subjetivo). Todas las personas físicas y jurídicas, públicas y privadas, nacionales y extranjeras, que desarrollen actividades económicas con o sin fines de lucro, en el territorio uruguayo, están obligadas a regirse por los principios de la libre competencia. Quedan también obligados en idénticos términos, quienes desarrollen actividades económicas en el extranjero, en tanto éstas desplieguen total o parcialmente sus efectos en el territorio uruguayo”. </w:t>
      </w:r>
    </w:p>
  </w:footnote>
  <w:footnote w:id="4">
    <w:p w14:paraId="4DEE8033" w14:textId="1AF754B3" w:rsidR="00673D18" w:rsidRPr="00B23821" w:rsidRDefault="00673D18" w:rsidP="009A4AC0">
      <w:pPr>
        <w:pStyle w:val="Textonotapie"/>
        <w:ind w:left="0"/>
        <w:jc w:val="both"/>
        <w:rPr>
          <w:rFonts w:ascii="Arial" w:hAnsi="Arial" w:cs="Arial"/>
          <w:lang w:val="es-UY"/>
        </w:rPr>
      </w:pPr>
      <w:r w:rsidRPr="005B11A3">
        <w:rPr>
          <w:rStyle w:val="Refdenotaalpie"/>
          <w:rFonts w:ascii="Arial" w:hAnsi="Arial" w:cs="Arial"/>
          <w:sz w:val="18"/>
        </w:rPr>
        <w:footnoteRef/>
      </w:r>
      <w:r w:rsidRPr="005B11A3">
        <w:rPr>
          <w:rFonts w:ascii="Arial" w:hAnsi="Arial" w:cs="Arial"/>
          <w:sz w:val="18"/>
        </w:rPr>
        <w:t xml:space="preserve"> Véase </w:t>
      </w:r>
      <w:r w:rsidRPr="005B11A3">
        <w:rPr>
          <w:rFonts w:ascii="Arial" w:hAnsi="Arial" w:cs="Arial"/>
          <w:i/>
          <w:iCs/>
          <w:sz w:val="18"/>
        </w:rPr>
        <w:t>infra</w:t>
      </w:r>
      <w:r w:rsidRPr="005B11A3">
        <w:rPr>
          <w:rFonts w:ascii="Arial" w:hAnsi="Arial" w:cs="Arial"/>
          <w:sz w:val="18"/>
        </w:rPr>
        <w:t xml:space="preserve"> el apartado </w:t>
      </w:r>
      <w:r w:rsidRPr="005B11A3">
        <w:rPr>
          <w:rFonts w:ascii="Arial" w:hAnsi="Arial" w:cs="Arial"/>
          <w:i/>
          <w:iCs/>
          <w:sz w:val="18"/>
        </w:rPr>
        <w:t xml:space="preserve">“Umbrales de facturación”. </w:t>
      </w:r>
    </w:p>
  </w:footnote>
  <w:footnote w:id="5">
    <w:p w14:paraId="17833424" w14:textId="6A80BE9B" w:rsidR="00673D18" w:rsidRPr="005B11A3" w:rsidRDefault="00673D18" w:rsidP="001C41E4">
      <w:pPr>
        <w:pStyle w:val="Textonotapie"/>
        <w:ind w:left="0"/>
        <w:jc w:val="both"/>
        <w:rPr>
          <w:rFonts w:ascii="Arial" w:hAnsi="Arial" w:cs="Arial"/>
          <w:sz w:val="18"/>
          <w:lang w:val="es-UY"/>
        </w:rPr>
      </w:pPr>
      <w:r w:rsidRPr="005B11A3">
        <w:rPr>
          <w:rStyle w:val="Refdenotaalpie"/>
          <w:rFonts w:ascii="Arial" w:hAnsi="Arial" w:cs="Arial"/>
          <w:sz w:val="18"/>
        </w:rPr>
        <w:footnoteRef/>
      </w:r>
      <w:r w:rsidRPr="005B11A3">
        <w:rPr>
          <w:rFonts w:ascii="Arial" w:hAnsi="Arial" w:cs="Arial"/>
          <w:sz w:val="18"/>
        </w:rPr>
        <w:t xml:space="preserve"> Artículo 7 inciso 4 de la Ley No. 18.159.</w:t>
      </w:r>
    </w:p>
  </w:footnote>
  <w:footnote w:id="6">
    <w:p w14:paraId="6EAA2061" w14:textId="77777777" w:rsidR="00673D18" w:rsidRPr="005B11A3" w:rsidRDefault="00673D18" w:rsidP="00826D5D">
      <w:pPr>
        <w:pStyle w:val="Textonotapie"/>
        <w:ind w:left="0"/>
        <w:rPr>
          <w:sz w:val="18"/>
          <w:lang w:val="es-UY"/>
        </w:rPr>
      </w:pPr>
      <w:r w:rsidRPr="005B11A3">
        <w:rPr>
          <w:rStyle w:val="Refdenotaalpie"/>
          <w:rFonts w:ascii="Arial" w:hAnsi="Arial" w:cs="Arial"/>
          <w:sz w:val="18"/>
        </w:rPr>
        <w:footnoteRef/>
      </w:r>
      <w:r w:rsidRPr="005B11A3">
        <w:rPr>
          <w:rFonts w:ascii="Arial" w:hAnsi="Arial" w:cs="Arial"/>
          <w:sz w:val="18"/>
        </w:rPr>
        <w:t xml:space="preserve"> Artículo 7 inciso 4 de la Ley No. 18.159. </w:t>
      </w:r>
    </w:p>
  </w:footnote>
  <w:footnote w:id="7">
    <w:p w14:paraId="152C8E0F" w14:textId="2CB994FC" w:rsidR="00673D18" w:rsidRPr="005B11A3" w:rsidRDefault="00673D18" w:rsidP="001C41E4">
      <w:pPr>
        <w:pStyle w:val="Textonotapie"/>
        <w:ind w:left="0"/>
        <w:jc w:val="both"/>
        <w:rPr>
          <w:rFonts w:ascii="Arial" w:hAnsi="Arial" w:cs="Arial"/>
          <w:sz w:val="18"/>
          <w:lang w:val="es-UY"/>
        </w:rPr>
      </w:pPr>
      <w:r w:rsidRPr="005B11A3">
        <w:rPr>
          <w:rStyle w:val="Refdenotaalpie"/>
          <w:rFonts w:ascii="Arial" w:hAnsi="Arial" w:cs="Arial"/>
          <w:sz w:val="18"/>
        </w:rPr>
        <w:footnoteRef/>
      </w:r>
      <w:r w:rsidRPr="005B11A3">
        <w:rPr>
          <w:rFonts w:ascii="Arial" w:hAnsi="Arial" w:cs="Arial"/>
          <w:sz w:val="18"/>
        </w:rPr>
        <w:t xml:space="preserve"> Ídem </w:t>
      </w:r>
    </w:p>
  </w:footnote>
  <w:footnote w:id="8">
    <w:p w14:paraId="1786C924" w14:textId="6F516F9A" w:rsidR="00673D18" w:rsidRPr="001C41E4" w:rsidRDefault="00673D18" w:rsidP="001C41E4">
      <w:pPr>
        <w:pStyle w:val="Textonotapie"/>
        <w:ind w:left="0"/>
        <w:jc w:val="both"/>
        <w:rPr>
          <w:lang w:val="es-UY"/>
        </w:rPr>
      </w:pPr>
      <w:r w:rsidRPr="005B11A3">
        <w:rPr>
          <w:rStyle w:val="Refdenotaalpie"/>
          <w:rFonts w:ascii="Arial" w:hAnsi="Arial" w:cs="Arial"/>
          <w:sz w:val="18"/>
        </w:rPr>
        <w:footnoteRef/>
      </w:r>
      <w:r w:rsidRPr="005B11A3">
        <w:rPr>
          <w:rFonts w:ascii="Arial" w:hAnsi="Arial" w:cs="Arial"/>
          <w:sz w:val="18"/>
        </w:rPr>
        <w:t xml:space="preserve"> Si bien, en los casos más frecuentes, la adquisición de control deriva de la compraventa de participaciones sociales, acciones o derechos sociales, lo cierto es que dicho control puede adquirirse por múltiples vías, entre otras, mediante un convenio de accionistas, sindicatos de voto o, incluso a través de la suscripción de cláusulas contractuales – por ejemplo, en el marco de operaciones de financiamiento- que confieran derechos de influencia decisiva sobre estrategia competitiva de la empresa. </w:t>
      </w:r>
    </w:p>
  </w:footnote>
  <w:footnote w:id="9">
    <w:p w14:paraId="55FC2CAD" w14:textId="472B7436" w:rsidR="00673D18" w:rsidRPr="005B11A3" w:rsidRDefault="00673D18" w:rsidP="001C41E4">
      <w:pPr>
        <w:pStyle w:val="Textonotapie"/>
        <w:ind w:left="0"/>
        <w:jc w:val="both"/>
        <w:rPr>
          <w:rFonts w:ascii="Arial" w:hAnsi="Arial" w:cs="Arial"/>
          <w:i/>
          <w:iCs/>
          <w:sz w:val="18"/>
          <w:lang w:val="es-UY"/>
        </w:rPr>
      </w:pPr>
      <w:r w:rsidRPr="005B11A3">
        <w:rPr>
          <w:rStyle w:val="Refdenotaalpie"/>
          <w:rFonts w:ascii="Arial" w:hAnsi="Arial" w:cs="Arial"/>
          <w:sz w:val="18"/>
        </w:rPr>
        <w:footnoteRef/>
      </w:r>
      <w:r w:rsidRPr="005B11A3">
        <w:rPr>
          <w:rFonts w:ascii="Arial" w:hAnsi="Arial" w:cs="Arial"/>
          <w:sz w:val="18"/>
        </w:rPr>
        <w:t xml:space="preserve"> Véase artículo 115 y ss. de la Ley de Sociedades Comerciales No. 16.060, en particular el artículo 115 establece: “</w:t>
      </w:r>
      <w:r w:rsidRPr="005B11A3">
        <w:rPr>
          <w:rFonts w:ascii="Arial" w:hAnsi="Arial" w:cs="Arial"/>
          <w:i/>
          <w:iCs/>
          <w:sz w:val="18"/>
        </w:rPr>
        <w:t xml:space="preserve">Fusión. Concepto. Habrá fusión por creación cuando dos o más sociedades se disuelvan sin liquidarse y transmitan sus patrimonios a título universal, a una sociedad nueva que constituyan. Habrá fusión por incorporación cuando una o más sociedades se disuelvan sin liquidarse y transmitan sus patrimonios, a título universal, a otra sociedad ya existente. En las dos modalidades los socios o accionistas de las sociedades fusionadas recibirán en compensación, participaciones, cuotas o acciones de la sociedad que se cree o de la incorporante”. </w:t>
      </w:r>
    </w:p>
  </w:footnote>
  <w:footnote w:id="10">
    <w:p w14:paraId="626A10D1" w14:textId="73411CEA" w:rsidR="00673D18" w:rsidRPr="001C41E4" w:rsidRDefault="00673D18" w:rsidP="001C41E4">
      <w:pPr>
        <w:pStyle w:val="Textonotapie"/>
        <w:ind w:left="0"/>
        <w:jc w:val="both"/>
        <w:rPr>
          <w:i/>
          <w:iCs/>
          <w:lang w:val="es-UY"/>
        </w:rPr>
      </w:pPr>
      <w:r w:rsidRPr="005B11A3">
        <w:rPr>
          <w:rStyle w:val="Refdenotaalpie"/>
          <w:rFonts w:ascii="Arial" w:hAnsi="Arial" w:cs="Arial"/>
          <w:sz w:val="18"/>
        </w:rPr>
        <w:footnoteRef/>
      </w:r>
      <w:r w:rsidRPr="005B11A3">
        <w:rPr>
          <w:rFonts w:ascii="Arial" w:hAnsi="Arial" w:cs="Arial"/>
          <w:sz w:val="18"/>
        </w:rPr>
        <w:t xml:space="preserve"> Véase artículo 489 y ss. de la Ley de Sociedades Comerciales No. 16.060, en particular el artículo 489 establece: </w:t>
      </w:r>
      <w:r w:rsidRPr="005B11A3">
        <w:rPr>
          <w:rFonts w:ascii="Arial" w:hAnsi="Arial" w:cs="Arial"/>
          <w:i/>
          <w:iCs/>
          <w:sz w:val="18"/>
        </w:rPr>
        <w:t xml:space="preserve">“Concepto. Dos o más personas físicas o jurídicas podrán constituir un grupo de interés económico con la finalidad de facilitar o desarrollar una actividad económica de sus miembros o mejorar o acrecer los resultados de esa actividad. Por sí mismo, no dará lugar a la distribución de ganancias entre sus asociados y podrá constituirse sin capital. Será persona jurídica”. </w:t>
      </w:r>
    </w:p>
  </w:footnote>
  <w:footnote w:id="11">
    <w:p w14:paraId="4B885469" w14:textId="77777777" w:rsidR="00673D18" w:rsidRPr="000B17AC" w:rsidRDefault="00673D18" w:rsidP="00092585">
      <w:pPr>
        <w:pStyle w:val="Textonotapie"/>
        <w:ind w:left="0"/>
        <w:jc w:val="both"/>
        <w:rPr>
          <w:rFonts w:ascii="Arial" w:hAnsi="Arial" w:cs="Arial"/>
        </w:rPr>
      </w:pPr>
      <w:r w:rsidRPr="005B11A3">
        <w:rPr>
          <w:rStyle w:val="Refdenotaalpie"/>
          <w:rFonts w:ascii="Arial" w:hAnsi="Arial" w:cs="Arial"/>
          <w:sz w:val="18"/>
        </w:rPr>
        <w:footnoteRef/>
      </w:r>
      <w:r w:rsidRPr="005B11A3">
        <w:rPr>
          <w:rFonts w:ascii="Arial" w:hAnsi="Arial" w:cs="Arial"/>
          <w:sz w:val="18"/>
        </w:rPr>
        <w:t xml:space="preserve"> De acuerdo a lo expuesto, en conjunto con los demás requisitos, resultará notificable a la Comisión un cambio de control individual a conjunto y viceversa, así como un cambio en la identidad del controlador individual o de uno de los controladores conjuntos.</w:t>
      </w:r>
    </w:p>
  </w:footnote>
  <w:footnote w:id="12">
    <w:p w14:paraId="72AF4E56" w14:textId="6E9E7B02" w:rsidR="00673D18" w:rsidRPr="005B11A3" w:rsidRDefault="00673D18" w:rsidP="00CC24B0">
      <w:pPr>
        <w:pStyle w:val="Textonotapie"/>
        <w:ind w:left="0"/>
        <w:jc w:val="both"/>
        <w:rPr>
          <w:rFonts w:ascii="Arial" w:hAnsi="Arial" w:cs="Arial"/>
          <w:sz w:val="18"/>
          <w:lang w:val="es-UY"/>
        </w:rPr>
      </w:pPr>
      <w:r w:rsidRPr="005B11A3">
        <w:rPr>
          <w:rStyle w:val="Refdenotaalpie"/>
          <w:rFonts w:ascii="Arial" w:hAnsi="Arial" w:cs="Arial"/>
          <w:sz w:val="18"/>
        </w:rPr>
        <w:footnoteRef/>
      </w:r>
      <w:r w:rsidRPr="005B11A3">
        <w:rPr>
          <w:rFonts w:ascii="Arial" w:hAnsi="Arial" w:cs="Arial"/>
          <w:sz w:val="18"/>
        </w:rPr>
        <w:t xml:space="preserve"> Sin perjuicio de los casos de “creación de control” a los que también refiere el artículo 7 de la Ley No. 18.159, según se examina </w:t>
      </w:r>
      <w:r w:rsidRPr="005B11A3">
        <w:rPr>
          <w:rFonts w:ascii="Arial" w:hAnsi="Arial" w:cs="Arial"/>
          <w:i/>
          <w:iCs/>
          <w:sz w:val="18"/>
        </w:rPr>
        <w:t>infra</w:t>
      </w:r>
      <w:r w:rsidRPr="005B11A3">
        <w:rPr>
          <w:rFonts w:ascii="Arial" w:hAnsi="Arial" w:cs="Arial"/>
          <w:sz w:val="18"/>
        </w:rPr>
        <w:t xml:space="preserve"> en el apartado </w:t>
      </w:r>
      <w:r w:rsidRPr="005B11A3">
        <w:rPr>
          <w:rFonts w:ascii="Arial" w:hAnsi="Arial" w:cs="Arial"/>
          <w:i/>
          <w:iCs/>
          <w:sz w:val="18"/>
        </w:rPr>
        <w:t>“Creación de empresas en participación (joint-ventures”)”</w:t>
      </w:r>
      <w:r w:rsidRPr="005B11A3">
        <w:rPr>
          <w:rFonts w:ascii="Arial" w:hAnsi="Arial" w:cs="Arial"/>
          <w:sz w:val="18"/>
        </w:rPr>
        <w:t>.</w:t>
      </w:r>
    </w:p>
  </w:footnote>
  <w:footnote w:id="13">
    <w:p w14:paraId="01F57B53" w14:textId="2B462AE2" w:rsidR="00673D18" w:rsidRPr="005B11A3" w:rsidRDefault="00673D18" w:rsidP="00CC24B0">
      <w:pPr>
        <w:pStyle w:val="Textonotapie"/>
        <w:ind w:left="0"/>
        <w:jc w:val="both"/>
        <w:rPr>
          <w:rFonts w:ascii="Arial" w:hAnsi="Arial" w:cs="Arial"/>
          <w:sz w:val="18"/>
          <w:lang w:val="es-UY"/>
        </w:rPr>
      </w:pPr>
      <w:r w:rsidRPr="005B11A3">
        <w:rPr>
          <w:rStyle w:val="Refdenotaalpie"/>
          <w:rFonts w:ascii="Arial" w:hAnsi="Arial" w:cs="Arial"/>
          <w:sz w:val="18"/>
        </w:rPr>
        <w:footnoteRef/>
      </w:r>
      <w:r w:rsidRPr="005B11A3">
        <w:rPr>
          <w:rFonts w:ascii="Arial" w:hAnsi="Arial" w:cs="Arial"/>
          <w:sz w:val="18"/>
        </w:rPr>
        <w:t xml:space="preserve"> Resolución No. 175/2022 de COPRODEC de fecha 23 de agosto de 2022. </w:t>
      </w:r>
    </w:p>
  </w:footnote>
  <w:footnote w:id="14">
    <w:p w14:paraId="57E6A706" w14:textId="27F82F76" w:rsidR="00673D18" w:rsidRPr="005B11A3" w:rsidRDefault="00673D18" w:rsidP="001C41E4">
      <w:pPr>
        <w:pStyle w:val="Textonotapie"/>
        <w:ind w:left="0"/>
        <w:rPr>
          <w:rFonts w:ascii="Arial" w:hAnsi="Arial" w:cs="Arial"/>
          <w:sz w:val="18"/>
          <w:lang w:val="es-ES"/>
        </w:rPr>
      </w:pPr>
      <w:r w:rsidRPr="005B11A3">
        <w:rPr>
          <w:rStyle w:val="Refdenotaalpie"/>
          <w:rFonts w:ascii="Arial" w:hAnsi="Arial" w:cs="Arial"/>
          <w:sz w:val="18"/>
        </w:rPr>
        <w:footnoteRef/>
      </w:r>
      <w:r w:rsidRPr="005B11A3">
        <w:rPr>
          <w:rFonts w:ascii="Arial" w:hAnsi="Arial" w:cs="Arial"/>
          <w:sz w:val="18"/>
        </w:rPr>
        <w:t xml:space="preserve"> Resolución No. 175/2022 de COPRODEC de fecha 23 de agosto de 2022, párrafo 22. </w:t>
      </w:r>
    </w:p>
  </w:footnote>
  <w:footnote w:id="15">
    <w:p w14:paraId="57EF732C" w14:textId="067C9097" w:rsidR="00673D18" w:rsidRPr="001C41E4" w:rsidRDefault="00673D18" w:rsidP="001C41E4">
      <w:pPr>
        <w:pStyle w:val="Textonotapie"/>
        <w:ind w:left="0"/>
        <w:rPr>
          <w:lang w:val="es-ES"/>
        </w:rPr>
      </w:pPr>
      <w:r w:rsidRPr="005B11A3">
        <w:rPr>
          <w:rStyle w:val="Refdenotaalpie"/>
          <w:rFonts w:ascii="Arial" w:hAnsi="Arial" w:cs="Arial"/>
          <w:sz w:val="18"/>
        </w:rPr>
        <w:footnoteRef/>
      </w:r>
      <w:r w:rsidRPr="005B11A3">
        <w:rPr>
          <w:rFonts w:ascii="Arial" w:hAnsi="Arial" w:cs="Arial"/>
          <w:sz w:val="18"/>
        </w:rPr>
        <w:t xml:space="preserve"> Ídem.</w:t>
      </w:r>
      <w:r w:rsidRPr="005B11A3">
        <w:rPr>
          <w:sz w:val="18"/>
        </w:rPr>
        <w:t xml:space="preserve"> </w:t>
      </w:r>
    </w:p>
  </w:footnote>
  <w:footnote w:id="16">
    <w:p w14:paraId="32513687" w14:textId="4D0ED330" w:rsidR="00673D18" w:rsidRPr="005B11A3" w:rsidRDefault="00673D18" w:rsidP="001C41E4">
      <w:pPr>
        <w:pStyle w:val="Textonotapie"/>
        <w:ind w:left="0"/>
        <w:rPr>
          <w:rFonts w:ascii="Arial" w:hAnsi="Arial" w:cs="Arial"/>
          <w:sz w:val="18"/>
          <w:lang w:val="es-ES"/>
        </w:rPr>
      </w:pPr>
      <w:r w:rsidRPr="005B11A3">
        <w:rPr>
          <w:rStyle w:val="Refdenotaalpie"/>
          <w:rFonts w:ascii="Arial" w:hAnsi="Arial" w:cs="Arial"/>
          <w:sz w:val="18"/>
        </w:rPr>
        <w:footnoteRef/>
      </w:r>
      <w:r w:rsidRPr="005B11A3">
        <w:rPr>
          <w:rFonts w:ascii="Arial" w:hAnsi="Arial" w:cs="Arial"/>
          <w:sz w:val="18"/>
        </w:rPr>
        <w:t xml:space="preserve">Resolución No. 175/2022 de COPRODEC de fecha 23 de agosto de 2022, párrafo 24.  </w:t>
      </w:r>
    </w:p>
  </w:footnote>
  <w:footnote w:id="17">
    <w:p w14:paraId="0B61D446" w14:textId="14DDFB99" w:rsidR="00673D18" w:rsidRPr="001C41E4" w:rsidRDefault="00673D18" w:rsidP="001C41E4">
      <w:pPr>
        <w:pStyle w:val="Textonotapie"/>
        <w:ind w:left="0"/>
        <w:rPr>
          <w:lang w:val="es-ES"/>
        </w:rPr>
      </w:pPr>
      <w:r w:rsidRPr="005B11A3">
        <w:rPr>
          <w:rStyle w:val="Refdenotaalpie"/>
          <w:rFonts w:ascii="Arial" w:hAnsi="Arial" w:cs="Arial"/>
          <w:sz w:val="18"/>
        </w:rPr>
        <w:footnoteRef/>
      </w:r>
      <w:r w:rsidRPr="005B11A3">
        <w:rPr>
          <w:rFonts w:ascii="Arial" w:hAnsi="Arial" w:cs="Arial"/>
          <w:sz w:val="18"/>
        </w:rPr>
        <w:t xml:space="preserve"> Resolución No. 175/2022 de fecha 23 de agosto de 2022, párrafo 24.</w:t>
      </w:r>
      <w:r w:rsidRPr="005B11A3">
        <w:rPr>
          <w:sz w:val="18"/>
        </w:rPr>
        <w:t xml:space="preserve"> </w:t>
      </w:r>
    </w:p>
  </w:footnote>
  <w:footnote w:id="18">
    <w:p w14:paraId="491BAEA7" w14:textId="0309650F" w:rsidR="00673D18" w:rsidRPr="005B11A3" w:rsidRDefault="00673D18" w:rsidP="007313D6">
      <w:pPr>
        <w:pStyle w:val="Textonotapie"/>
        <w:ind w:left="0"/>
        <w:jc w:val="both"/>
        <w:rPr>
          <w:rFonts w:ascii="Arial" w:hAnsi="Arial" w:cs="Arial"/>
          <w:sz w:val="18"/>
          <w:lang w:val="es-ES"/>
        </w:rPr>
      </w:pPr>
      <w:r w:rsidRPr="005B11A3">
        <w:rPr>
          <w:rStyle w:val="Refdenotaalpie"/>
          <w:rFonts w:ascii="Arial" w:hAnsi="Arial" w:cs="Arial"/>
          <w:sz w:val="18"/>
        </w:rPr>
        <w:footnoteRef/>
      </w:r>
      <w:r w:rsidRPr="005B11A3">
        <w:rPr>
          <w:rFonts w:ascii="Arial" w:hAnsi="Arial" w:cs="Arial"/>
          <w:sz w:val="18"/>
        </w:rPr>
        <w:t xml:space="preserve"> Resolución No. 175/2022 de fecha 23 de agosto de 2022, párrafo 23. </w:t>
      </w:r>
    </w:p>
  </w:footnote>
  <w:footnote w:id="19">
    <w:p w14:paraId="24EE2535" w14:textId="1660A749" w:rsidR="00673D18" w:rsidRPr="00FB2D85" w:rsidRDefault="00673D18" w:rsidP="008B226D">
      <w:pPr>
        <w:pStyle w:val="Textonotapie"/>
        <w:ind w:left="0"/>
        <w:jc w:val="both"/>
        <w:rPr>
          <w:rFonts w:ascii="Arial" w:hAnsi="Arial" w:cs="Arial"/>
          <w:lang w:val="es-UY"/>
        </w:rPr>
      </w:pPr>
      <w:r w:rsidRPr="005B11A3">
        <w:rPr>
          <w:rStyle w:val="Refdenotaalpie"/>
          <w:rFonts w:ascii="Arial" w:hAnsi="Arial" w:cs="Arial"/>
          <w:sz w:val="18"/>
        </w:rPr>
        <w:footnoteRef/>
      </w:r>
      <w:r w:rsidRPr="005B11A3">
        <w:rPr>
          <w:rFonts w:ascii="Arial" w:hAnsi="Arial" w:cs="Arial"/>
          <w:sz w:val="18"/>
        </w:rPr>
        <w:t xml:space="preserve"> </w:t>
      </w:r>
      <w:r w:rsidRPr="005B11A3">
        <w:rPr>
          <w:rFonts w:ascii="Arial" w:hAnsi="Arial" w:cs="Arial"/>
          <w:sz w:val="18"/>
          <w:lang w:val="es-UY"/>
        </w:rPr>
        <w:t>En particular para la verificación de situaciones de hecho, estructuradas artificiosamente para eludir el régimen de control de concentraciones.</w:t>
      </w:r>
    </w:p>
  </w:footnote>
  <w:footnote w:id="20">
    <w:p w14:paraId="53282590" w14:textId="77777777" w:rsidR="00673D18" w:rsidRPr="00CC5912" w:rsidRDefault="00673D18" w:rsidP="00ED6E36">
      <w:pPr>
        <w:pStyle w:val="Textonotapie"/>
        <w:ind w:left="0"/>
        <w:jc w:val="both"/>
        <w:rPr>
          <w:rFonts w:ascii="Arial" w:hAnsi="Arial" w:cs="Arial"/>
        </w:rPr>
      </w:pPr>
      <w:r w:rsidRPr="005B11A3">
        <w:rPr>
          <w:rStyle w:val="Refdenotaalpie"/>
          <w:rFonts w:ascii="Arial" w:hAnsi="Arial" w:cs="Arial"/>
          <w:sz w:val="18"/>
        </w:rPr>
        <w:footnoteRef/>
      </w:r>
      <w:r w:rsidRPr="005B11A3">
        <w:rPr>
          <w:rFonts w:ascii="Arial" w:hAnsi="Arial" w:cs="Arial"/>
          <w:sz w:val="18"/>
        </w:rPr>
        <w:t xml:space="preserve"> Esta excepción no debe confundirse con la posibilidad de esgrimir la defensa de empresa en crisis en otros contextos y sujeta a los requisitos establecidos al efecto en la Guía sustantiva.</w:t>
      </w:r>
    </w:p>
  </w:footnote>
  <w:footnote w:id="21">
    <w:p w14:paraId="17DE6DBA" w14:textId="141FCCC8" w:rsidR="00673D18" w:rsidRPr="005B11A3" w:rsidRDefault="00673D18" w:rsidP="005B11A3">
      <w:pPr>
        <w:pStyle w:val="Textonotapie"/>
        <w:ind w:left="0"/>
        <w:rPr>
          <w:rFonts w:ascii="Arial" w:hAnsi="Arial" w:cs="Arial"/>
          <w:lang w:val="es-ES"/>
        </w:rPr>
      </w:pPr>
      <w:r w:rsidRPr="005B11A3">
        <w:rPr>
          <w:rStyle w:val="Refdenotaalpie"/>
          <w:rFonts w:ascii="Arial" w:hAnsi="Arial" w:cs="Arial"/>
          <w:sz w:val="18"/>
        </w:rPr>
        <w:footnoteRef/>
      </w:r>
      <w:r w:rsidRPr="005B11A3">
        <w:rPr>
          <w:rFonts w:ascii="Arial" w:hAnsi="Arial" w:cs="Arial"/>
          <w:sz w:val="18"/>
        </w:rPr>
        <w:t xml:space="preserve"> Aplica el Formulario de Solicitud de Autorización de Concentración Económica.</w:t>
      </w:r>
    </w:p>
  </w:footnote>
  <w:footnote w:id="22">
    <w:p w14:paraId="7B9CA60C" w14:textId="2C811D04" w:rsidR="00673D18" w:rsidRPr="005B11A3" w:rsidRDefault="00673D18" w:rsidP="005B11A3">
      <w:pPr>
        <w:pStyle w:val="Textonotapie"/>
        <w:ind w:left="0"/>
        <w:jc w:val="both"/>
        <w:rPr>
          <w:sz w:val="18"/>
          <w:lang w:val="es-UY"/>
        </w:rPr>
      </w:pPr>
      <w:r w:rsidRPr="005B11A3">
        <w:rPr>
          <w:rStyle w:val="Refdenotaalpie"/>
          <w:rFonts w:ascii="Arial" w:hAnsi="Arial" w:cs="Arial"/>
          <w:sz w:val="18"/>
        </w:rPr>
        <w:footnoteRef/>
      </w:r>
      <w:r w:rsidRPr="005B11A3">
        <w:rPr>
          <w:rFonts w:ascii="Arial" w:hAnsi="Arial" w:cs="Arial"/>
          <w:sz w:val="18"/>
        </w:rPr>
        <w:t xml:space="preserve"> </w:t>
      </w:r>
      <w:r w:rsidRPr="005B11A3">
        <w:rPr>
          <w:rFonts w:ascii="Arial" w:hAnsi="Arial" w:cs="Arial"/>
          <w:sz w:val="18"/>
          <w:lang w:val="es-UY"/>
        </w:rPr>
        <w:t>Aplica el Formulario de Notificación de Concentración Económica.</w:t>
      </w:r>
    </w:p>
  </w:footnote>
  <w:footnote w:id="23">
    <w:p w14:paraId="67118496" w14:textId="300C86C2" w:rsidR="00673D18" w:rsidRPr="00D4780E" w:rsidRDefault="00673D18" w:rsidP="005B11A3">
      <w:pPr>
        <w:pStyle w:val="Textonotapie"/>
        <w:ind w:left="0"/>
        <w:jc w:val="both"/>
        <w:rPr>
          <w:rFonts w:ascii="Arial" w:hAnsi="Arial" w:cs="Arial"/>
          <w:lang w:val="es-UY"/>
        </w:rPr>
      </w:pPr>
      <w:r w:rsidRPr="005B11A3">
        <w:rPr>
          <w:rStyle w:val="Refdenotaalpie"/>
          <w:rFonts w:ascii="Arial" w:hAnsi="Arial" w:cs="Arial"/>
          <w:sz w:val="18"/>
        </w:rPr>
        <w:footnoteRef/>
      </w:r>
      <w:r w:rsidRPr="005B11A3">
        <w:rPr>
          <w:rFonts w:ascii="Arial" w:hAnsi="Arial" w:cs="Arial"/>
          <w:sz w:val="18"/>
        </w:rPr>
        <w:t xml:space="preserve"> </w:t>
      </w:r>
      <w:r w:rsidRPr="005B11A3">
        <w:rPr>
          <w:rFonts w:ascii="Arial" w:hAnsi="Arial" w:cs="Arial"/>
          <w:sz w:val="18"/>
          <w:lang w:val="es-UY"/>
        </w:rPr>
        <w:t xml:space="preserve">En línea con lo dispuesto por el artículo 8 inciso 3 del Decreto No. 404/007 </w:t>
      </w:r>
      <w:r w:rsidRPr="005B11A3">
        <w:rPr>
          <w:rFonts w:ascii="Arial" w:hAnsi="Arial" w:cs="Arial"/>
          <w:i/>
          <w:iCs/>
          <w:sz w:val="18"/>
          <w:lang w:val="es-UY"/>
        </w:rPr>
        <w:t>“para el cálculo de la facturación nacional se sumarán los valores de facturación, de los participantes del acto de concentración, así como de las entidades controladas por ellos, de quiénes los controlan, y de las entidades bajo el control de quienes también controlan a los participantes”</w:t>
      </w:r>
      <w:r w:rsidRPr="005B11A3">
        <w:rPr>
          <w:rFonts w:ascii="Arial" w:hAnsi="Arial" w:cs="Arial"/>
          <w:sz w:val="18"/>
          <w:lang w:val="es-UY"/>
        </w:rPr>
        <w:t>, es decir, de los grupos participantes en la operación.</w:t>
      </w:r>
    </w:p>
  </w:footnote>
  <w:footnote w:id="24">
    <w:p w14:paraId="6C835360" w14:textId="6B9511E3" w:rsidR="00673D18" w:rsidRPr="005B11A3" w:rsidRDefault="00673D18" w:rsidP="005B11A3">
      <w:pPr>
        <w:pStyle w:val="Textonotapie"/>
        <w:ind w:left="0"/>
        <w:jc w:val="both"/>
        <w:rPr>
          <w:rFonts w:ascii="Arial" w:hAnsi="Arial" w:cs="Arial"/>
          <w:sz w:val="18"/>
          <w:lang w:val="es-UY"/>
        </w:rPr>
      </w:pPr>
      <w:r w:rsidRPr="005B11A3">
        <w:rPr>
          <w:rStyle w:val="Refdenotaalpie"/>
          <w:rFonts w:ascii="Arial" w:hAnsi="Arial" w:cs="Arial"/>
          <w:sz w:val="18"/>
        </w:rPr>
        <w:footnoteRef/>
      </w:r>
      <w:r w:rsidRPr="005B11A3">
        <w:rPr>
          <w:rFonts w:ascii="Arial" w:hAnsi="Arial" w:cs="Arial"/>
          <w:sz w:val="18"/>
        </w:rPr>
        <w:t xml:space="preserve"> </w:t>
      </w:r>
      <w:r w:rsidRPr="005B11A3">
        <w:rPr>
          <w:rFonts w:ascii="Arial" w:hAnsi="Arial" w:cs="Arial"/>
          <w:sz w:val="18"/>
          <w:lang w:val="es-UY"/>
        </w:rPr>
        <w:t>Criterio consignado en Resolución No. 168/021</w:t>
      </w:r>
    </w:p>
  </w:footnote>
  <w:footnote w:id="25">
    <w:p w14:paraId="51798060" w14:textId="2B1D9C3A" w:rsidR="00673D18" w:rsidRPr="001C41E4" w:rsidRDefault="00673D18" w:rsidP="005B11A3">
      <w:pPr>
        <w:pStyle w:val="Textonotapie"/>
        <w:ind w:left="0"/>
        <w:jc w:val="both"/>
        <w:rPr>
          <w:lang w:val="es-UY"/>
        </w:rPr>
      </w:pPr>
      <w:r w:rsidRPr="005B11A3">
        <w:rPr>
          <w:rStyle w:val="Refdenotaalpie"/>
          <w:rFonts w:ascii="Arial" w:hAnsi="Arial" w:cs="Arial"/>
          <w:sz w:val="18"/>
        </w:rPr>
        <w:footnoteRef/>
      </w:r>
      <w:r w:rsidRPr="005B11A3">
        <w:rPr>
          <w:rFonts w:ascii="Arial" w:hAnsi="Arial" w:cs="Arial"/>
          <w:sz w:val="18"/>
        </w:rPr>
        <w:t xml:space="preserve"> Por ejemplo, la facturación de los activos o sociedades comerciales que detente el fideicomiso.</w:t>
      </w:r>
      <w:r w:rsidRPr="005B11A3">
        <w:rPr>
          <w:sz w:val="18"/>
        </w:rPr>
        <w:t xml:space="preserve"> </w:t>
      </w:r>
    </w:p>
  </w:footnote>
  <w:footnote w:id="26">
    <w:p w14:paraId="171A6590" w14:textId="6BB8515A" w:rsidR="00673D18" w:rsidRPr="005B11A3" w:rsidRDefault="00673D18" w:rsidP="001C41E4">
      <w:pPr>
        <w:pStyle w:val="Textonotapie"/>
        <w:ind w:left="0"/>
        <w:jc w:val="both"/>
        <w:rPr>
          <w:rFonts w:ascii="Arial" w:hAnsi="Arial" w:cs="Arial"/>
          <w:sz w:val="18"/>
          <w:lang w:val="es-UY"/>
        </w:rPr>
      </w:pPr>
      <w:r w:rsidRPr="005B11A3">
        <w:rPr>
          <w:rStyle w:val="Refdenotaalpie"/>
          <w:rFonts w:ascii="Arial" w:hAnsi="Arial" w:cs="Arial"/>
          <w:sz w:val="18"/>
        </w:rPr>
        <w:footnoteRef/>
      </w:r>
      <w:r w:rsidRPr="005B11A3">
        <w:rPr>
          <w:rFonts w:ascii="Arial" w:hAnsi="Arial" w:cs="Arial"/>
          <w:sz w:val="18"/>
        </w:rPr>
        <w:t xml:space="preserve"> Sobre la noción de control véase </w:t>
      </w:r>
      <w:r w:rsidRPr="005B11A3">
        <w:rPr>
          <w:rFonts w:ascii="Arial" w:hAnsi="Arial" w:cs="Arial"/>
          <w:i/>
          <w:iCs/>
          <w:sz w:val="18"/>
        </w:rPr>
        <w:t>supra apartado “Creación o modificación de control”.</w:t>
      </w:r>
    </w:p>
  </w:footnote>
  <w:footnote w:id="27">
    <w:p w14:paraId="4908AEAA" w14:textId="0614EC42" w:rsidR="00673D18" w:rsidRPr="001C41E4" w:rsidRDefault="00673D18" w:rsidP="001C41E4">
      <w:pPr>
        <w:pStyle w:val="Textonotapie"/>
        <w:ind w:left="0"/>
        <w:jc w:val="both"/>
        <w:rPr>
          <w:lang w:val="es-UY"/>
        </w:rPr>
      </w:pPr>
      <w:r w:rsidRPr="005B11A3">
        <w:rPr>
          <w:rStyle w:val="Refdenotaalpie"/>
          <w:rFonts w:ascii="Arial" w:hAnsi="Arial" w:cs="Arial"/>
          <w:sz w:val="18"/>
        </w:rPr>
        <w:footnoteRef/>
      </w:r>
      <w:r w:rsidRPr="005B11A3">
        <w:rPr>
          <w:rFonts w:ascii="Arial" w:hAnsi="Arial" w:cs="Arial"/>
          <w:sz w:val="18"/>
        </w:rPr>
        <w:t xml:space="preserve"> Artículo 8 inciso 3 Decreto No. 404/007.</w:t>
      </w:r>
      <w:r w:rsidRPr="005B11A3">
        <w:rPr>
          <w:sz w:val="18"/>
        </w:rPr>
        <w:t xml:space="preserve">  </w:t>
      </w:r>
    </w:p>
  </w:footnote>
  <w:footnote w:id="28">
    <w:p w14:paraId="681C6B3A" w14:textId="2BDA1957" w:rsidR="00673D18" w:rsidRPr="005B11A3" w:rsidRDefault="00673D18" w:rsidP="001C41E4">
      <w:pPr>
        <w:pStyle w:val="Textonotapie"/>
        <w:ind w:left="0"/>
        <w:rPr>
          <w:sz w:val="18"/>
          <w:lang w:val="es-ES"/>
        </w:rPr>
      </w:pPr>
      <w:r w:rsidRPr="005B11A3">
        <w:rPr>
          <w:rStyle w:val="Refdenotaalpie"/>
          <w:rFonts w:ascii="Arial" w:hAnsi="Arial" w:cs="Arial"/>
          <w:sz w:val="18"/>
        </w:rPr>
        <w:footnoteRef/>
      </w:r>
      <w:r w:rsidRPr="005B11A3">
        <w:rPr>
          <w:rFonts w:ascii="Arial" w:hAnsi="Arial" w:cs="Arial"/>
          <w:sz w:val="18"/>
        </w:rPr>
        <w:t xml:space="preserve"> Artículo 9 de la Ley No. 18.159 en la redacción dada por el artículo 164 de la Ley No. 20.446.</w:t>
      </w:r>
    </w:p>
  </w:footnote>
  <w:footnote w:id="29">
    <w:p w14:paraId="7B07C10D" w14:textId="01B321D6" w:rsidR="00673D18" w:rsidRPr="005B11A3" w:rsidRDefault="00673D18" w:rsidP="001C41E4">
      <w:pPr>
        <w:pStyle w:val="Textonotapie"/>
        <w:ind w:left="0"/>
        <w:rPr>
          <w:rFonts w:ascii="Arial" w:hAnsi="Arial" w:cs="Arial"/>
          <w:sz w:val="18"/>
          <w:lang w:val="es-UY"/>
        </w:rPr>
      </w:pPr>
      <w:r w:rsidRPr="005B11A3">
        <w:rPr>
          <w:rStyle w:val="Refdenotaalpie"/>
          <w:rFonts w:ascii="Arial" w:hAnsi="Arial" w:cs="Arial"/>
          <w:sz w:val="18"/>
        </w:rPr>
        <w:footnoteRef/>
      </w:r>
      <w:r w:rsidRPr="005B11A3">
        <w:rPr>
          <w:rFonts w:ascii="Arial" w:hAnsi="Arial" w:cs="Arial"/>
          <w:sz w:val="18"/>
        </w:rPr>
        <w:t xml:space="preserve"> Artículo 9 del Decreto No. 404/007. </w:t>
      </w:r>
    </w:p>
  </w:footnote>
  <w:footnote w:id="30">
    <w:p w14:paraId="624FFF34" w14:textId="3EFD938C" w:rsidR="00673D18" w:rsidRPr="001C41E4" w:rsidRDefault="00673D18" w:rsidP="001C41E4">
      <w:pPr>
        <w:pStyle w:val="Textonotapie"/>
        <w:ind w:left="0"/>
        <w:rPr>
          <w:lang w:val="es-ES"/>
        </w:rPr>
      </w:pPr>
      <w:r w:rsidRPr="005B11A3">
        <w:rPr>
          <w:rStyle w:val="Refdenotaalpie"/>
          <w:rFonts w:ascii="Arial" w:hAnsi="Arial" w:cs="Arial"/>
          <w:sz w:val="18"/>
        </w:rPr>
        <w:footnoteRef/>
      </w:r>
      <w:r w:rsidRPr="005B11A3">
        <w:rPr>
          <w:rFonts w:ascii="Arial" w:hAnsi="Arial" w:cs="Arial"/>
          <w:sz w:val="18"/>
        </w:rPr>
        <w:t xml:space="preserve"> </w:t>
      </w:r>
      <w:r w:rsidRPr="005B11A3">
        <w:rPr>
          <w:rFonts w:ascii="Arial" w:hAnsi="Arial" w:cs="Arial"/>
          <w:sz w:val="18"/>
          <w:lang w:val="es-ES"/>
        </w:rPr>
        <w:t>Artículo 44 del Decreto No. 404/007.</w:t>
      </w:r>
    </w:p>
  </w:footnote>
  <w:footnote w:id="31">
    <w:p w14:paraId="4CA98556" w14:textId="77777777" w:rsidR="00673D18" w:rsidRPr="003D216A" w:rsidRDefault="00673D18" w:rsidP="005B11A3">
      <w:pPr>
        <w:pStyle w:val="Textonotapie"/>
        <w:ind w:left="0"/>
        <w:rPr>
          <w:rFonts w:ascii="Arial" w:hAnsi="Arial" w:cs="Arial"/>
          <w:lang w:val="es-ES"/>
        </w:rPr>
      </w:pPr>
      <w:r w:rsidRPr="005B11A3">
        <w:rPr>
          <w:rStyle w:val="Refdenotaalpie"/>
          <w:rFonts w:ascii="Arial" w:hAnsi="Arial" w:cs="Arial"/>
          <w:sz w:val="18"/>
        </w:rPr>
        <w:footnoteRef/>
      </w:r>
      <w:r w:rsidRPr="005B11A3">
        <w:rPr>
          <w:rFonts w:ascii="Arial" w:hAnsi="Arial" w:cs="Arial"/>
          <w:sz w:val="18"/>
        </w:rPr>
        <w:t xml:space="preserve"> </w:t>
      </w:r>
      <w:r w:rsidRPr="005B11A3">
        <w:rPr>
          <w:rFonts w:ascii="Arial" w:hAnsi="Arial" w:cs="Arial"/>
          <w:sz w:val="18"/>
          <w:lang w:val="es-ES"/>
        </w:rPr>
        <w:t>Artículo 1 Ley No. 18.381</w:t>
      </w:r>
    </w:p>
  </w:footnote>
  <w:footnote w:id="32">
    <w:p w14:paraId="1E6D11C1" w14:textId="77777777" w:rsidR="00673D18" w:rsidRPr="005B11A3" w:rsidRDefault="00673D18" w:rsidP="005B11A3">
      <w:pPr>
        <w:pStyle w:val="Textonotapie"/>
        <w:ind w:left="0"/>
        <w:rPr>
          <w:rFonts w:ascii="Arial" w:hAnsi="Arial" w:cs="Arial"/>
          <w:sz w:val="18"/>
          <w:lang w:val="es-ES"/>
        </w:rPr>
      </w:pPr>
      <w:r w:rsidRPr="005B11A3">
        <w:rPr>
          <w:rStyle w:val="Refdenotaalpie"/>
          <w:rFonts w:ascii="Arial" w:hAnsi="Arial" w:cs="Arial"/>
          <w:sz w:val="18"/>
        </w:rPr>
        <w:footnoteRef/>
      </w:r>
      <w:r w:rsidRPr="005B11A3">
        <w:rPr>
          <w:rFonts w:ascii="Arial" w:hAnsi="Arial" w:cs="Arial"/>
          <w:sz w:val="18"/>
        </w:rPr>
        <w:t xml:space="preserve"> </w:t>
      </w:r>
      <w:r w:rsidRPr="005B11A3">
        <w:rPr>
          <w:rFonts w:ascii="Arial" w:hAnsi="Arial" w:cs="Arial"/>
          <w:sz w:val="18"/>
          <w:lang w:val="es-ES"/>
        </w:rPr>
        <w:t>No se incluirán porcentajes accionarios.</w:t>
      </w:r>
    </w:p>
  </w:footnote>
  <w:footnote w:id="33">
    <w:p w14:paraId="594EE6F6" w14:textId="77777777" w:rsidR="00673D18" w:rsidRPr="003660B1" w:rsidRDefault="00673D18" w:rsidP="005B11A3">
      <w:pPr>
        <w:pStyle w:val="Textonotapie"/>
        <w:ind w:left="0"/>
        <w:rPr>
          <w:lang w:val="es-ES"/>
        </w:rPr>
      </w:pPr>
      <w:r w:rsidRPr="005B11A3">
        <w:rPr>
          <w:rStyle w:val="Refdenotaalpie"/>
          <w:rFonts w:ascii="Arial" w:hAnsi="Arial" w:cs="Arial"/>
          <w:sz w:val="18"/>
        </w:rPr>
        <w:footnoteRef/>
      </w:r>
      <w:r w:rsidRPr="005B11A3">
        <w:rPr>
          <w:rFonts w:ascii="Arial" w:hAnsi="Arial" w:cs="Arial"/>
          <w:sz w:val="18"/>
        </w:rPr>
        <w:t xml:space="preserve"> </w:t>
      </w:r>
      <w:r w:rsidRPr="005B11A3">
        <w:rPr>
          <w:rFonts w:ascii="Arial" w:hAnsi="Arial" w:cs="Arial"/>
          <w:sz w:val="18"/>
          <w:lang w:val="es-ES"/>
        </w:rPr>
        <w:t>No se incluirán participaciones de mercado.</w:t>
      </w:r>
      <w:r w:rsidRPr="005B11A3">
        <w:rPr>
          <w:sz w:val="18"/>
          <w:lang w:val="es-ES"/>
        </w:rPr>
        <w:t xml:space="preserve"> </w:t>
      </w:r>
    </w:p>
  </w:footnote>
  <w:footnote w:id="34">
    <w:p w14:paraId="42FF6101" w14:textId="77777777" w:rsidR="00673D18" w:rsidRPr="005B11A3" w:rsidRDefault="00673D18" w:rsidP="005B11A3">
      <w:pPr>
        <w:pStyle w:val="Textonotapie"/>
        <w:ind w:left="0"/>
        <w:rPr>
          <w:rFonts w:ascii="Arial" w:hAnsi="Arial" w:cs="Arial"/>
          <w:sz w:val="18"/>
          <w:szCs w:val="18"/>
          <w:lang w:val="es-ES"/>
        </w:rPr>
      </w:pPr>
      <w:r w:rsidRPr="005B11A3">
        <w:rPr>
          <w:rStyle w:val="Refdenotaalpie"/>
          <w:rFonts w:ascii="Arial" w:hAnsi="Arial" w:cs="Arial"/>
          <w:sz w:val="18"/>
          <w:szCs w:val="18"/>
        </w:rPr>
        <w:footnoteRef/>
      </w:r>
      <w:r w:rsidRPr="005B11A3">
        <w:rPr>
          <w:rFonts w:ascii="Arial" w:hAnsi="Arial" w:cs="Arial"/>
          <w:sz w:val="18"/>
          <w:szCs w:val="18"/>
        </w:rPr>
        <w:t xml:space="preserve"> </w:t>
      </w:r>
      <w:r w:rsidRPr="005B11A3">
        <w:rPr>
          <w:rFonts w:ascii="Arial" w:hAnsi="Arial" w:cs="Arial"/>
          <w:sz w:val="18"/>
          <w:szCs w:val="18"/>
          <w:lang w:val="es-ES"/>
        </w:rPr>
        <w:t xml:space="preserve">En línea con Resolución No. 14/2020 de la Unidad Reguladora y de Control de Datos Personales.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415A3" w14:textId="291E82FE" w:rsidR="00302CE0" w:rsidRDefault="00302CE0">
    <w:pPr>
      <w:pStyle w:val="Encabezado"/>
    </w:pPr>
    <w:r>
      <w:rPr>
        <w:rFonts w:ascii="Arial" w:hAnsi="Arial" w:cs="Arial"/>
        <w:noProof/>
      </w:rPr>
      <w:drawing>
        <wp:anchor distT="0" distB="0" distL="114300" distR="114300" simplePos="0" relativeHeight="251661312" behindDoc="0" locked="0" layoutInCell="1" allowOverlap="1" wp14:anchorId="76823765" wp14:editId="571435BE">
          <wp:simplePos x="0" y="0"/>
          <wp:positionH relativeFrom="margin">
            <wp:posOffset>1320165</wp:posOffset>
          </wp:positionH>
          <wp:positionV relativeFrom="page">
            <wp:posOffset>368044</wp:posOffset>
          </wp:positionV>
          <wp:extent cx="2703600" cy="1033200"/>
          <wp:effectExtent l="0" t="0" r="0" b="0"/>
          <wp:wrapSquare wrapText="bothSides"/>
          <wp:docPr id="3" name="Imagen 3" descr="Logo que contiene el Escudo Nacional y dice Ministerio de Economía y Finanzas, Comisión de Promoción y Defensa de la Competen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3" descr="Logo que contiene el Escudo Nacional y dice Ministerio de Economía y Finanzas, Comisión de Promoción y Defensa de la Competenc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3600" cy="1033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0AD9412" w14:textId="77777777" w:rsidR="00302CE0" w:rsidRDefault="00302CE0">
    <w:pPr>
      <w:pStyle w:val="Encabezado"/>
    </w:pPr>
  </w:p>
  <w:p w14:paraId="666A49B0" w14:textId="77777777" w:rsidR="00302CE0" w:rsidRDefault="00302CE0">
    <w:pPr>
      <w:pStyle w:val="Encabezado"/>
    </w:pPr>
  </w:p>
  <w:p w14:paraId="2669053D" w14:textId="77777777" w:rsidR="00302CE0" w:rsidRDefault="00302CE0">
    <w:pPr>
      <w:pStyle w:val="Encabezado"/>
    </w:pPr>
  </w:p>
  <w:p w14:paraId="357FF0AA" w14:textId="77777777" w:rsidR="00302CE0" w:rsidRDefault="00302CE0">
    <w:pPr>
      <w:pStyle w:val="Encabezado"/>
    </w:pPr>
  </w:p>
  <w:p w14:paraId="412ADBB8" w14:textId="33679DD3" w:rsidR="00302CE0" w:rsidRDefault="00302CE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1462E" w14:textId="75BB4BC6" w:rsidR="007F44BE" w:rsidRDefault="00302CE0" w:rsidP="00302CE0">
    <w:pPr>
      <w:pStyle w:val="Encabezado"/>
      <w:jc w:val="center"/>
    </w:pPr>
    <w:r>
      <w:rPr>
        <w:noProof/>
      </w:rPr>
      <w:drawing>
        <wp:inline distT="0" distB="0" distL="0" distR="0" wp14:anchorId="66ADC405" wp14:editId="2173E23F">
          <wp:extent cx="2707005" cy="103632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7005" cy="10363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C45C4"/>
    <w:multiLevelType w:val="hybridMultilevel"/>
    <w:tmpl w:val="734ED484"/>
    <w:lvl w:ilvl="0" w:tplc="380A0001">
      <w:start w:val="1"/>
      <w:numFmt w:val="bullet"/>
      <w:lvlText w:val=""/>
      <w:lvlJc w:val="left"/>
      <w:pPr>
        <w:ind w:left="1364" w:hanging="360"/>
      </w:pPr>
      <w:rPr>
        <w:rFonts w:ascii="Symbol" w:hAnsi="Symbol" w:hint="default"/>
      </w:rPr>
    </w:lvl>
    <w:lvl w:ilvl="1" w:tplc="380A0003" w:tentative="1">
      <w:start w:val="1"/>
      <w:numFmt w:val="bullet"/>
      <w:lvlText w:val="o"/>
      <w:lvlJc w:val="left"/>
      <w:pPr>
        <w:ind w:left="2084" w:hanging="360"/>
      </w:pPr>
      <w:rPr>
        <w:rFonts w:ascii="Courier New" w:hAnsi="Courier New" w:cs="Courier New" w:hint="default"/>
      </w:rPr>
    </w:lvl>
    <w:lvl w:ilvl="2" w:tplc="380A0005" w:tentative="1">
      <w:start w:val="1"/>
      <w:numFmt w:val="bullet"/>
      <w:lvlText w:val=""/>
      <w:lvlJc w:val="left"/>
      <w:pPr>
        <w:ind w:left="2804" w:hanging="360"/>
      </w:pPr>
      <w:rPr>
        <w:rFonts w:ascii="Wingdings" w:hAnsi="Wingdings" w:hint="default"/>
      </w:rPr>
    </w:lvl>
    <w:lvl w:ilvl="3" w:tplc="380A0001" w:tentative="1">
      <w:start w:val="1"/>
      <w:numFmt w:val="bullet"/>
      <w:lvlText w:val=""/>
      <w:lvlJc w:val="left"/>
      <w:pPr>
        <w:ind w:left="3524" w:hanging="360"/>
      </w:pPr>
      <w:rPr>
        <w:rFonts w:ascii="Symbol" w:hAnsi="Symbol" w:hint="default"/>
      </w:rPr>
    </w:lvl>
    <w:lvl w:ilvl="4" w:tplc="380A0003" w:tentative="1">
      <w:start w:val="1"/>
      <w:numFmt w:val="bullet"/>
      <w:lvlText w:val="o"/>
      <w:lvlJc w:val="left"/>
      <w:pPr>
        <w:ind w:left="4244" w:hanging="360"/>
      </w:pPr>
      <w:rPr>
        <w:rFonts w:ascii="Courier New" w:hAnsi="Courier New" w:cs="Courier New" w:hint="default"/>
      </w:rPr>
    </w:lvl>
    <w:lvl w:ilvl="5" w:tplc="380A0005" w:tentative="1">
      <w:start w:val="1"/>
      <w:numFmt w:val="bullet"/>
      <w:lvlText w:val=""/>
      <w:lvlJc w:val="left"/>
      <w:pPr>
        <w:ind w:left="4964" w:hanging="360"/>
      </w:pPr>
      <w:rPr>
        <w:rFonts w:ascii="Wingdings" w:hAnsi="Wingdings" w:hint="default"/>
      </w:rPr>
    </w:lvl>
    <w:lvl w:ilvl="6" w:tplc="380A0001" w:tentative="1">
      <w:start w:val="1"/>
      <w:numFmt w:val="bullet"/>
      <w:lvlText w:val=""/>
      <w:lvlJc w:val="left"/>
      <w:pPr>
        <w:ind w:left="5684" w:hanging="360"/>
      </w:pPr>
      <w:rPr>
        <w:rFonts w:ascii="Symbol" w:hAnsi="Symbol" w:hint="default"/>
      </w:rPr>
    </w:lvl>
    <w:lvl w:ilvl="7" w:tplc="380A0003" w:tentative="1">
      <w:start w:val="1"/>
      <w:numFmt w:val="bullet"/>
      <w:lvlText w:val="o"/>
      <w:lvlJc w:val="left"/>
      <w:pPr>
        <w:ind w:left="6404" w:hanging="360"/>
      </w:pPr>
      <w:rPr>
        <w:rFonts w:ascii="Courier New" w:hAnsi="Courier New" w:cs="Courier New" w:hint="default"/>
      </w:rPr>
    </w:lvl>
    <w:lvl w:ilvl="8" w:tplc="380A0005" w:tentative="1">
      <w:start w:val="1"/>
      <w:numFmt w:val="bullet"/>
      <w:lvlText w:val=""/>
      <w:lvlJc w:val="left"/>
      <w:pPr>
        <w:ind w:left="7124" w:hanging="360"/>
      </w:pPr>
      <w:rPr>
        <w:rFonts w:ascii="Wingdings" w:hAnsi="Wingdings" w:hint="default"/>
      </w:rPr>
    </w:lvl>
  </w:abstractNum>
  <w:abstractNum w:abstractNumId="1" w15:restartNumberingAfterBreak="0">
    <w:nsid w:val="084976CF"/>
    <w:multiLevelType w:val="hybridMultilevel"/>
    <w:tmpl w:val="27949D5A"/>
    <w:lvl w:ilvl="0" w:tplc="89D4330E">
      <w:start w:val="6"/>
      <w:numFmt w:val="decimal"/>
      <w:lvlText w:val="%1."/>
      <w:lvlJc w:val="left"/>
      <w:pPr>
        <w:ind w:left="1004" w:hanging="360"/>
      </w:pPr>
      <w:rPr>
        <w:rFonts w:hint="default"/>
      </w:rPr>
    </w:lvl>
    <w:lvl w:ilvl="1" w:tplc="0C0A0019">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 w15:restartNumberingAfterBreak="0">
    <w:nsid w:val="0C031190"/>
    <w:multiLevelType w:val="hybridMultilevel"/>
    <w:tmpl w:val="6A78FE1C"/>
    <w:lvl w:ilvl="0" w:tplc="3E603240">
      <w:start w:val="1"/>
      <w:numFmt w:val="lowerLetter"/>
      <w:lvlRestart w:val="0"/>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952162"/>
    <w:multiLevelType w:val="hybridMultilevel"/>
    <w:tmpl w:val="69AA11F8"/>
    <w:lvl w:ilvl="0" w:tplc="0C0A0015">
      <w:start w:val="9"/>
      <w:numFmt w:val="upperLetter"/>
      <w:lvlText w:val="%1."/>
      <w:lvlJc w:val="left"/>
      <w:pPr>
        <w:ind w:left="2268" w:hanging="360"/>
      </w:pPr>
      <w:rPr>
        <w:rFonts w:hint="default"/>
      </w:rPr>
    </w:lvl>
    <w:lvl w:ilvl="1" w:tplc="0C0A0019" w:tentative="1">
      <w:start w:val="1"/>
      <w:numFmt w:val="lowerLetter"/>
      <w:lvlText w:val="%2."/>
      <w:lvlJc w:val="left"/>
      <w:pPr>
        <w:ind w:left="2988" w:hanging="360"/>
      </w:pPr>
    </w:lvl>
    <w:lvl w:ilvl="2" w:tplc="0C0A001B" w:tentative="1">
      <w:start w:val="1"/>
      <w:numFmt w:val="lowerRoman"/>
      <w:lvlText w:val="%3."/>
      <w:lvlJc w:val="right"/>
      <w:pPr>
        <w:ind w:left="3708" w:hanging="180"/>
      </w:pPr>
    </w:lvl>
    <w:lvl w:ilvl="3" w:tplc="0C0A000F" w:tentative="1">
      <w:start w:val="1"/>
      <w:numFmt w:val="decimal"/>
      <w:lvlText w:val="%4."/>
      <w:lvlJc w:val="left"/>
      <w:pPr>
        <w:ind w:left="4428" w:hanging="360"/>
      </w:pPr>
    </w:lvl>
    <w:lvl w:ilvl="4" w:tplc="0C0A0019" w:tentative="1">
      <w:start w:val="1"/>
      <w:numFmt w:val="lowerLetter"/>
      <w:lvlText w:val="%5."/>
      <w:lvlJc w:val="left"/>
      <w:pPr>
        <w:ind w:left="5148" w:hanging="360"/>
      </w:pPr>
    </w:lvl>
    <w:lvl w:ilvl="5" w:tplc="0C0A001B" w:tentative="1">
      <w:start w:val="1"/>
      <w:numFmt w:val="lowerRoman"/>
      <w:lvlText w:val="%6."/>
      <w:lvlJc w:val="right"/>
      <w:pPr>
        <w:ind w:left="5868" w:hanging="180"/>
      </w:pPr>
    </w:lvl>
    <w:lvl w:ilvl="6" w:tplc="0C0A000F" w:tentative="1">
      <w:start w:val="1"/>
      <w:numFmt w:val="decimal"/>
      <w:lvlText w:val="%7."/>
      <w:lvlJc w:val="left"/>
      <w:pPr>
        <w:ind w:left="6588" w:hanging="360"/>
      </w:pPr>
    </w:lvl>
    <w:lvl w:ilvl="7" w:tplc="0C0A0019" w:tentative="1">
      <w:start w:val="1"/>
      <w:numFmt w:val="lowerLetter"/>
      <w:lvlText w:val="%8."/>
      <w:lvlJc w:val="left"/>
      <w:pPr>
        <w:ind w:left="7308" w:hanging="360"/>
      </w:pPr>
    </w:lvl>
    <w:lvl w:ilvl="8" w:tplc="0C0A001B" w:tentative="1">
      <w:start w:val="1"/>
      <w:numFmt w:val="lowerRoman"/>
      <w:lvlText w:val="%9."/>
      <w:lvlJc w:val="right"/>
      <w:pPr>
        <w:ind w:left="8028" w:hanging="180"/>
      </w:pPr>
    </w:lvl>
  </w:abstractNum>
  <w:abstractNum w:abstractNumId="4" w15:restartNumberingAfterBreak="0">
    <w:nsid w:val="13002B85"/>
    <w:multiLevelType w:val="hybridMultilevel"/>
    <w:tmpl w:val="00F2B6A6"/>
    <w:lvl w:ilvl="0" w:tplc="380A0001">
      <w:start w:val="1"/>
      <w:numFmt w:val="bullet"/>
      <w:lvlText w:val=""/>
      <w:lvlJc w:val="left"/>
      <w:pPr>
        <w:ind w:left="1440" w:hanging="360"/>
      </w:pPr>
      <w:rPr>
        <w:rFonts w:ascii="Symbol" w:hAnsi="Symbol"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5" w15:restartNumberingAfterBreak="0">
    <w:nsid w:val="145413E8"/>
    <w:multiLevelType w:val="hybridMultilevel"/>
    <w:tmpl w:val="B324FD96"/>
    <w:lvl w:ilvl="0" w:tplc="340A001B">
      <w:start w:val="1"/>
      <w:numFmt w:val="lowerRoman"/>
      <w:lvlText w:val="%1."/>
      <w:lvlJc w:val="right"/>
      <w:pPr>
        <w:ind w:left="2484" w:hanging="360"/>
      </w:pPr>
    </w:lvl>
    <w:lvl w:ilvl="1" w:tplc="340A0019" w:tentative="1">
      <w:start w:val="1"/>
      <w:numFmt w:val="lowerLetter"/>
      <w:lvlText w:val="%2."/>
      <w:lvlJc w:val="left"/>
      <w:pPr>
        <w:ind w:left="3204" w:hanging="360"/>
      </w:pPr>
    </w:lvl>
    <w:lvl w:ilvl="2" w:tplc="340A001B" w:tentative="1">
      <w:start w:val="1"/>
      <w:numFmt w:val="lowerRoman"/>
      <w:lvlText w:val="%3."/>
      <w:lvlJc w:val="right"/>
      <w:pPr>
        <w:ind w:left="3924" w:hanging="180"/>
      </w:pPr>
    </w:lvl>
    <w:lvl w:ilvl="3" w:tplc="340A000F" w:tentative="1">
      <w:start w:val="1"/>
      <w:numFmt w:val="decimal"/>
      <w:lvlText w:val="%4."/>
      <w:lvlJc w:val="left"/>
      <w:pPr>
        <w:ind w:left="4644" w:hanging="360"/>
      </w:pPr>
    </w:lvl>
    <w:lvl w:ilvl="4" w:tplc="340A0019" w:tentative="1">
      <w:start w:val="1"/>
      <w:numFmt w:val="lowerLetter"/>
      <w:lvlText w:val="%5."/>
      <w:lvlJc w:val="left"/>
      <w:pPr>
        <w:ind w:left="5364" w:hanging="360"/>
      </w:pPr>
    </w:lvl>
    <w:lvl w:ilvl="5" w:tplc="340A001B" w:tentative="1">
      <w:start w:val="1"/>
      <w:numFmt w:val="lowerRoman"/>
      <w:lvlText w:val="%6."/>
      <w:lvlJc w:val="right"/>
      <w:pPr>
        <w:ind w:left="6084" w:hanging="180"/>
      </w:pPr>
    </w:lvl>
    <w:lvl w:ilvl="6" w:tplc="340A000F" w:tentative="1">
      <w:start w:val="1"/>
      <w:numFmt w:val="decimal"/>
      <w:lvlText w:val="%7."/>
      <w:lvlJc w:val="left"/>
      <w:pPr>
        <w:ind w:left="6804" w:hanging="360"/>
      </w:pPr>
    </w:lvl>
    <w:lvl w:ilvl="7" w:tplc="340A0019" w:tentative="1">
      <w:start w:val="1"/>
      <w:numFmt w:val="lowerLetter"/>
      <w:lvlText w:val="%8."/>
      <w:lvlJc w:val="left"/>
      <w:pPr>
        <w:ind w:left="7524" w:hanging="360"/>
      </w:pPr>
    </w:lvl>
    <w:lvl w:ilvl="8" w:tplc="340A001B" w:tentative="1">
      <w:start w:val="1"/>
      <w:numFmt w:val="lowerRoman"/>
      <w:lvlText w:val="%9."/>
      <w:lvlJc w:val="right"/>
      <w:pPr>
        <w:ind w:left="8244" w:hanging="180"/>
      </w:pPr>
    </w:lvl>
  </w:abstractNum>
  <w:abstractNum w:abstractNumId="6" w15:restartNumberingAfterBreak="0">
    <w:nsid w:val="152F7191"/>
    <w:multiLevelType w:val="hybridMultilevel"/>
    <w:tmpl w:val="5A7CB16C"/>
    <w:lvl w:ilvl="0" w:tplc="0A2E06C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 w15:restartNumberingAfterBreak="0">
    <w:nsid w:val="16795936"/>
    <w:multiLevelType w:val="hybridMultilevel"/>
    <w:tmpl w:val="4D3A29A2"/>
    <w:lvl w:ilvl="0" w:tplc="380A0001">
      <w:start w:val="1"/>
      <w:numFmt w:val="bullet"/>
      <w:lvlText w:val=""/>
      <w:lvlJc w:val="left"/>
      <w:pPr>
        <w:ind w:left="1004" w:hanging="360"/>
      </w:pPr>
      <w:rPr>
        <w:rFonts w:ascii="Symbol" w:hAnsi="Symbol" w:hint="default"/>
      </w:rPr>
    </w:lvl>
    <w:lvl w:ilvl="1" w:tplc="380A0003" w:tentative="1">
      <w:start w:val="1"/>
      <w:numFmt w:val="bullet"/>
      <w:lvlText w:val="o"/>
      <w:lvlJc w:val="left"/>
      <w:pPr>
        <w:ind w:left="1724" w:hanging="360"/>
      </w:pPr>
      <w:rPr>
        <w:rFonts w:ascii="Courier New" w:hAnsi="Courier New" w:cs="Courier New" w:hint="default"/>
      </w:rPr>
    </w:lvl>
    <w:lvl w:ilvl="2" w:tplc="380A0005" w:tentative="1">
      <w:start w:val="1"/>
      <w:numFmt w:val="bullet"/>
      <w:lvlText w:val=""/>
      <w:lvlJc w:val="left"/>
      <w:pPr>
        <w:ind w:left="2444" w:hanging="360"/>
      </w:pPr>
      <w:rPr>
        <w:rFonts w:ascii="Wingdings" w:hAnsi="Wingdings" w:hint="default"/>
      </w:rPr>
    </w:lvl>
    <w:lvl w:ilvl="3" w:tplc="380A0001" w:tentative="1">
      <w:start w:val="1"/>
      <w:numFmt w:val="bullet"/>
      <w:lvlText w:val=""/>
      <w:lvlJc w:val="left"/>
      <w:pPr>
        <w:ind w:left="3164" w:hanging="360"/>
      </w:pPr>
      <w:rPr>
        <w:rFonts w:ascii="Symbol" w:hAnsi="Symbol" w:hint="default"/>
      </w:rPr>
    </w:lvl>
    <w:lvl w:ilvl="4" w:tplc="380A0003" w:tentative="1">
      <w:start w:val="1"/>
      <w:numFmt w:val="bullet"/>
      <w:lvlText w:val="o"/>
      <w:lvlJc w:val="left"/>
      <w:pPr>
        <w:ind w:left="3884" w:hanging="360"/>
      </w:pPr>
      <w:rPr>
        <w:rFonts w:ascii="Courier New" w:hAnsi="Courier New" w:cs="Courier New" w:hint="default"/>
      </w:rPr>
    </w:lvl>
    <w:lvl w:ilvl="5" w:tplc="380A0005" w:tentative="1">
      <w:start w:val="1"/>
      <w:numFmt w:val="bullet"/>
      <w:lvlText w:val=""/>
      <w:lvlJc w:val="left"/>
      <w:pPr>
        <w:ind w:left="4604" w:hanging="360"/>
      </w:pPr>
      <w:rPr>
        <w:rFonts w:ascii="Wingdings" w:hAnsi="Wingdings" w:hint="default"/>
      </w:rPr>
    </w:lvl>
    <w:lvl w:ilvl="6" w:tplc="380A0001" w:tentative="1">
      <w:start w:val="1"/>
      <w:numFmt w:val="bullet"/>
      <w:lvlText w:val=""/>
      <w:lvlJc w:val="left"/>
      <w:pPr>
        <w:ind w:left="5324" w:hanging="360"/>
      </w:pPr>
      <w:rPr>
        <w:rFonts w:ascii="Symbol" w:hAnsi="Symbol" w:hint="default"/>
      </w:rPr>
    </w:lvl>
    <w:lvl w:ilvl="7" w:tplc="380A0003" w:tentative="1">
      <w:start w:val="1"/>
      <w:numFmt w:val="bullet"/>
      <w:lvlText w:val="o"/>
      <w:lvlJc w:val="left"/>
      <w:pPr>
        <w:ind w:left="6044" w:hanging="360"/>
      </w:pPr>
      <w:rPr>
        <w:rFonts w:ascii="Courier New" w:hAnsi="Courier New" w:cs="Courier New" w:hint="default"/>
      </w:rPr>
    </w:lvl>
    <w:lvl w:ilvl="8" w:tplc="380A0005" w:tentative="1">
      <w:start w:val="1"/>
      <w:numFmt w:val="bullet"/>
      <w:lvlText w:val=""/>
      <w:lvlJc w:val="left"/>
      <w:pPr>
        <w:ind w:left="6764" w:hanging="360"/>
      </w:pPr>
      <w:rPr>
        <w:rFonts w:ascii="Wingdings" w:hAnsi="Wingdings" w:hint="default"/>
      </w:rPr>
    </w:lvl>
  </w:abstractNum>
  <w:abstractNum w:abstractNumId="8" w15:restartNumberingAfterBreak="0">
    <w:nsid w:val="18831717"/>
    <w:multiLevelType w:val="hybridMultilevel"/>
    <w:tmpl w:val="F81AC750"/>
    <w:lvl w:ilvl="0" w:tplc="380A0001">
      <w:start w:val="1"/>
      <w:numFmt w:val="bullet"/>
      <w:lvlText w:val=""/>
      <w:lvlJc w:val="left"/>
      <w:pPr>
        <w:ind w:left="1364" w:hanging="360"/>
      </w:pPr>
      <w:rPr>
        <w:rFonts w:ascii="Symbol" w:hAnsi="Symbol" w:hint="default"/>
      </w:rPr>
    </w:lvl>
    <w:lvl w:ilvl="1" w:tplc="380A0003" w:tentative="1">
      <w:start w:val="1"/>
      <w:numFmt w:val="bullet"/>
      <w:lvlText w:val="o"/>
      <w:lvlJc w:val="left"/>
      <w:pPr>
        <w:ind w:left="2084" w:hanging="360"/>
      </w:pPr>
      <w:rPr>
        <w:rFonts w:ascii="Courier New" w:hAnsi="Courier New" w:cs="Courier New" w:hint="default"/>
      </w:rPr>
    </w:lvl>
    <w:lvl w:ilvl="2" w:tplc="380A0005" w:tentative="1">
      <w:start w:val="1"/>
      <w:numFmt w:val="bullet"/>
      <w:lvlText w:val=""/>
      <w:lvlJc w:val="left"/>
      <w:pPr>
        <w:ind w:left="2804" w:hanging="360"/>
      </w:pPr>
      <w:rPr>
        <w:rFonts w:ascii="Wingdings" w:hAnsi="Wingdings" w:hint="default"/>
      </w:rPr>
    </w:lvl>
    <w:lvl w:ilvl="3" w:tplc="380A0001" w:tentative="1">
      <w:start w:val="1"/>
      <w:numFmt w:val="bullet"/>
      <w:lvlText w:val=""/>
      <w:lvlJc w:val="left"/>
      <w:pPr>
        <w:ind w:left="3524" w:hanging="360"/>
      </w:pPr>
      <w:rPr>
        <w:rFonts w:ascii="Symbol" w:hAnsi="Symbol" w:hint="default"/>
      </w:rPr>
    </w:lvl>
    <w:lvl w:ilvl="4" w:tplc="380A0003" w:tentative="1">
      <w:start w:val="1"/>
      <w:numFmt w:val="bullet"/>
      <w:lvlText w:val="o"/>
      <w:lvlJc w:val="left"/>
      <w:pPr>
        <w:ind w:left="4244" w:hanging="360"/>
      </w:pPr>
      <w:rPr>
        <w:rFonts w:ascii="Courier New" w:hAnsi="Courier New" w:cs="Courier New" w:hint="default"/>
      </w:rPr>
    </w:lvl>
    <w:lvl w:ilvl="5" w:tplc="380A0005" w:tentative="1">
      <w:start w:val="1"/>
      <w:numFmt w:val="bullet"/>
      <w:lvlText w:val=""/>
      <w:lvlJc w:val="left"/>
      <w:pPr>
        <w:ind w:left="4964" w:hanging="360"/>
      </w:pPr>
      <w:rPr>
        <w:rFonts w:ascii="Wingdings" w:hAnsi="Wingdings" w:hint="default"/>
      </w:rPr>
    </w:lvl>
    <w:lvl w:ilvl="6" w:tplc="380A0001" w:tentative="1">
      <w:start w:val="1"/>
      <w:numFmt w:val="bullet"/>
      <w:lvlText w:val=""/>
      <w:lvlJc w:val="left"/>
      <w:pPr>
        <w:ind w:left="5684" w:hanging="360"/>
      </w:pPr>
      <w:rPr>
        <w:rFonts w:ascii="Symbol" w:hAnsi="Symbol" w:hint="default"/>
      </w:rPr>
    </w:lvl>
    <w:lvl w:ilvl="7" w:tplc="380A0003" w:tentative="1">
      <w:start w:val="1"/>
      <w:numFmt w:val="bullet"/>
      <w:lvlText w:val="o"/>
      <w:lvlJc w:val="left"/>
      <w:pPr>
        <w:ind w:left="6404" w:hanging="360"/>
      </w:pPr>
      <w:rPr>
        <w:rFonts w:ascii="Courier New" w:hAnsi="Courier New" w:cs="Courier New" w:hint="default"/>
      </w:rPr>
    </w:lvl>
    <w:lvl w:ilvl="8" w:tplc="380A0005" w:tentative="1">
      <w:start w:val="1"/>
      <w:numFmt w:val="bullet"/>
      <w:lvlText w:val=""/>
      <w:lvlJc w:val="left"/>
      <w:pPr>
        <w:ind w:left="7124" w:hanging="360"/>
      </w:pPr>
      <w:rPr>
        <w:rFonts w:ascii="Wingdings" w:hAnsi="Wingdings" w:hint="default"/>
      </w:rPr>
    </w:lvl>
  </w:abstractNum>
  <w:abstractNum w:abstractNumId="9" w15:restartNumberingAfterBreak="0">
    <w:nsid w:val="18ED64F7"/>
    <w:multiLevelType w:val="hybridMultilevel"/>
    <w:tmpl w:val="B0343FB2"/>
    <w:lvl w:ilvl="0" w:tplc="E650271A">
      <w:start w:val="1"/>
      <w:numFmt w:val="lowerRoman"/>
      <w:lvlText w:val="%1)"/>
      <w:lvlJc w:val="left"/>
      <w:pPr>
        <w:ind w:left="1364" w:hanging="720"/>
      </w:pPr>
      <w:rPr>
        <w:rFonts w:hint="default"/>
        <w:color w:val="1F497D" w:themeColor="text2"/>
      </w:rPr>
    </w:lvl>
    <w:lvl w:ilvl="1" w:tplc="380A0019" w:tentative="1">
      <w:start w:val="1"/>
      <w:numFmt w:val="lowerLetter"/>
      <w:lvlText w:val="%2."/>
      <w:lvlJc w:val="left"/>
      <w:pPr>
        <w:ind w:left="1724" w:hanging="360"/>
      </w:pPr>
    </w:lvl>
    <w:lvl w:ilvl="2" w:tplc="380A001B" w:tentative="1">
      <w:start w:val="1"/>
      <w:numFmt w:val="lowerRoman"/>
      <w:lvlText w:val="%3."/>
      <w:lvlJc w:val="right"/>
      <w:pPr>
        <w:ind w:left="2444" w:hanging="180"/>
      </w:pPr>
    </w:lvl>
    <w:lvl w:ilvl="3" w:tplc="380A000F" w:tentative="1">
      <w:start w:val="1"/>
      <w:numFmt w:val="decimal"/>
      <w:lvlText w:val="%4."/>
      <w:lvlJc w:val="left"/>
      <w:pPr>
        <w:ind w:left="3164" w:hanging="360"/>
      </w:pPr>
    </w:lvl>
    <w:lvl w:ilvl="4" w:tplc="380A0019" w:tentative="1">
      <w:start w:val="1"/>
      <w:numFmt w:val="lowerLetter"/>
      <w:lvlText w:val="%5."/>
      <w:lvlJc w:val="left"/>
      <w:pPr>
        <w:ind w:left="3884" w:hanging="360"/>
      </w:pPr>
    </w:lvl>
    <w:lvl w:ilvl="5" w:tplc="380A001B" w:tentative="1">
      <w:start w:val="1"/>
      <w:numFmt w:val="lowerRoman"/>
      <w:lvlText w:val="%6."/>
      <w:lvlJc w:val="right"/>
      <w:pPr>
        <w:ind w:left="4604" w:hanging="180"/>
      </w:pPr>
    </w:lvl>
    <w:lvl w:ilvl="6" w:tplc="380A000F" w:tentative="1">
      <w:start w:val="1"/>
      <w:numFmt w:val="decimal"/>
      <w:lvlText w:val="%7."/>
      <w:lvlJc w:val="left"/>
      <w:pPr>
        <w:ind w:left="5324" w:hanging="360"/>
      </w:pPr>
    </w:lvl>
    <w:lvl w:ilvl="7" w:tplc="380A0019" w:tentative="1">
      <w:start w:val="1"/>
      <w:numFmt w:val="lowerLetter"/>
      <w:lvlText w:val="%8."/>
      <w:lvlJc w:val="left"/>
      <w:pPr>
        <w:ind w:left="6044" w:hanging="360"/>
      </w:pPr>
    </w:lvl>
    <w:lvl w:ilvl="8" w:tplc="380A001B" w:tentative="1">
      <w:start w:val="1"/>
      <w:numFmt w:val="lowerRoman"/>
      <w:lvlText w:val="%9."/>
      <w:lvlJc w:val="right"/>
      <w:pPr>
        <w:ind w:left="6764" w:hanging="180"/>
      </w:pPr>
    </w:lvl>
  </w:abstractNum>
  <w:abstractNum w:abstractNumId="10" w15:restartNumberingAfterBreak="0">
    <w:nsid w:val="1BBA558F"/>
    <w:multiLevelType w:val="hybridMultilevel"/>
    <w:tmpl w:val="E90031CA"/>
    <w:lvl w:ilvl="0" w:tplc="2D2E98A4">
      <w:start w:val="1"/>
      <w:numFmt w:val="lowerRoman"/>
      <w:lvlText w:val="%1."/>
      <w:lvlJc w:val="right"/>
      <w:pPr>
        <w:ind w:left="2340" w:hanging="360"/>
      </w:pPr>
      <w:rPr>
        <w:rFonts w:hint="default"/>
      </w:rPr>
    </w:lvl>
    <w:lvl w:ilvl="1" w:tplc="340A001B">
      <w:start w:val="1"/>
      <w:numFmt w:val="lowerRoman"/>
      <w:lvlText w:val="%2."/>
      <w:lvlJc w:val="righ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1C8C6413"/>
    <w:multiLevelType w:val="hybridMultilevel"/>
    <w:tmpl w:val="8A927A60"/>
    <w:lvl w:ilvl="0" w:tplc="340A000F">
      <w:start w:val="1"/>
      <w:numFmt w:val="decimal"/>
      <w:lvlText w:val="%1."/>
      <w:lvlJc w:val="left"/>
      <w:pPr>
        <w:ind w:left="720" w:hanging="360"/>
      </w:pPr>
    </w:lvl>
    <w:lvl w:ilvl="1" w:tplc="0C0A0001">
      <w:start w:val="1"/>
      <w:numFmt w:val="bullet"/>
      <w:lvlText w:val=""/>
      <w:lvlJc w:val="left"/>
      <w:pPr>
        <w:ind w:left="1636" w:hanging="360"/>
      </w:pPr>
      <w:rPr>
        <w:rFonts w:ascii="Symbol" w:hAnsi="Symbol" w:hint="default"/>
      </w:r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68AAD9C">
      <w:start w:val="1"/>
      <w:numFmt w:val="lowerRoman"/>
      <w:lvlText w:val="(%5)"/>
      <w:lvlJc w:val="left"/>
      <w:pPr>
        <w:ind w:left="3960" w:hanging="720"/>
      </w:pPr>
      <w:rPr>
        <w:rFonts w:hint="default"/>
      </w:r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201A4971"/>
    <w:multiLevelType w:val="multilevel"/>
    <w:tmpl w:val="BCBE41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4D95F0D"/>
    <w:multiLevelType w:val="hybridMultilevel"/>
    <w:tmpl w:val="1FE02948"/>
    <w:lvl w:ilvl="0" w:tplc="FFFFFFFF">
      <w:start w:val="1"/>
      <w:numFmt w:val="decimal"/>
      <w:lvlText w:val="%1."/>
      <w:lvlJc w:val="left"/>
      <w:pPr>
        <w:ind w:left="720" w:hanging="360"/>
      </w:pPr>
      <w:rPr>
        <w:rFonts w:hint="default"/>
        <w:b w:val="0"/>
        <w:bCs w:val="0"/>
        <w:i w:val="0"/>
        <w:iCs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3801F9"/>
    <w:multiLevelType w:val="hybridMultilevel"/>
    <w:tmpl w:val="FA68FCE8"/>
    <w:lvl w:ilvl="0" w:tplc="0F4419B0">
      <w:numFmt w:val="bullet"/>
      <w:lvlText w:val="-"/>
      <w:lvlJc w:val="left"/>
      <w:pPr>
        <w:ind w:left="1080" w:hanging="360"/>
      </w:pPr>
      <w:rPr>
        <w:rFonts w:ascii="Calibri" w:eastAsiaTheme="minorHAnsi" w:hAnsi="Calibri" w:cstheme="minorBidi"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15" w15:restartNumberingAfterBreak="0">
    <w:nsid w:val="265367A9"/>
    <w:multiLevelType w:val="hybridMultilevel"/>
    <w:tmpl w:val="DEEA65EA"/>
    <w:lvl w:ilvl="0" w:tplc="FFFFFFFF">
      <w:start w:val="1"/>
      <w:numFmt w:val="lowerLetter"/>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6" w15:restartNumberingAfterBreak="0">
    <w:nsid w:val="271167F2"/>
    <w:multiLevelType w:val="hybridMultilevel"/>
    <w:tmpl w:val="EDA8E846"/>
    <w:lvl w:ilvl="0" w:tplc="7428A330">
      <w:start w:val="1"/>
      <w:numFmt w:val="lowerLetter"/>
      <w:lvlText w:val="%1)"/>
      <w:lvlJc w:val="left"/>
      <w:pPr>
        <w:ind w:left="644" w:hanging="360"/>
      </w:pPr>
      <w:rPr>
        <w:rFonts w:hint="default"/>
      </w:rPr>
    </w:lvl>
    <w:lvl w:ilvl="1" w:tplc="380A0019" w:tentative="1">
      <w:start w:val="1"/>
      <w:numFmt w:val="lowerLetter"/>
      <w:lvlText w:val="%2."/>
      <w:lvlJc w:val="left"/>
      <w:pPr>
        <w:ind w:left="1364" w:hanging="360"/>
      </w:pPr>
    </w:lvl>
    <w:lvl w:ilvl="2" w:tplc="380A001B" w:tentative="1">
      <w:start w:val="1"/>
      <w:numFmt w:val="lowerRoman"/>
      <w:lvlText w:val="%3."/>
      <w:lvlJc w:val="right"/>
      <w:pPr>
        <w:ind w:left="2084" w:hanging="180"/>
      </w:pPr>
    </w:lvl>
    <w:lvl w:ilvl="3" w:tplc="380A000F" w:tentative="1">
      <w:start w:val="1"/>
      <w:numFmt w:val="decimal"/>
      <w:lvlText w:val="%4."/>
      <w:lvlJc w:val="left"/>
      <w:pPr>
        <w:ind w:left="2804" w:hanging="360"/>
      </w:pPr>
    </w:lvl>
    <w:lvl w:ilvl="4" w:tplc="380A0019" w:tentative="1">
      <w:start w:val="1"/>
      <w:numFmt w:val="lowerLetter"/>
      <w:lvlText w:val="%5."/>
      <w:lvlJc w:val="left"/>
      <w:pPr>
        <w:ind w:left="3524" w:hanging="360"/>
      </w:pPr>
    </w:lvl>
    <w:lvl w:ilvl="5" w:tplc="380A001B" w:tentative="1">
      <w:start w:val="1"/>
      <w:numFmt w:val="lowerRoman"/>
      <w:lvlText w:val="%6."/>
      <w:lvlJc w:val="right"/>
      <w:pPr>
        <w:ind w:left="4244" w:hanging="180"/>
      </w:pPr>
    </w:lvl>
    <w:lvl w:ilvl="6" w:tplc="380A000F" w:tentative="1">
      <w:start w:val="1"/>
      <w:numFmt w:val="decimal"/>
      <w:lvlText w:val="%7."/>
      <w:lvlJc w:val="left"/>
      <w:pPr>
        <w:ind w:left="4964" w:hanging="360"/>
      </w:pPr>
    </w:lvl>
    <w:lvl w:ilvl="7" w:tplc="380A0019" w:tentative="1">
      <w:start w:val="1"/>
      <w:numFmt w:val="lowerLetter"/>
      <w:lvlText w:val="%8."/>
      <w:lvlJc w:val="left"/>
      <w:pPr>
        <w:ind w:left="5684" w:hanging="360"/>
      </w:pPr>
    </w:lvl>
    <w:lvl w:ilvl="8" w:tplc="380A001B" w:tentative="1">
      <w:start w:val="1"/>
      <w:numFmt w:val="lowerRoman"/>
      <w:lvlText w:val="%9."/>
      <w:lvlJc w:val="right"/>
      <w:pPr>
        <w:ind w:left="6404" w:hanging="180"/>
      </w:pPr>
    </w:lvl>
  </w:abstractNum>
  <w:abstractNum w:abstractNumId="17" w15:restartNumberingAfterBreak="0">
    <w:nsid w:val="2C7F4058"/>
    <w:multiLevelType w:val="hybridMultilevel"/>
    <w:tmpl w:val="9CCA9ABC"/>
    <w:lvl w:ilvl="0" w:tplc="0EBCA5A8">
      <w:start w:val="1"/>
      <w:numFmt w:val="decimal"/>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8" w15:restartNumberingAfterBreak="0">
    <w:nsid w:val="2CE50E7C"/>
    <w:multiLevelType w:val="hybridMultilevel"/>
    <w:tmpl w:val="4926B43A"/>
    <w:lvl w:ilvl="0" w:tplc="894EF686">
      <w:start w:val="1"/>
      <w:numFmt w:val="decimal"/>
      <w:lvlText w:val="%1."/>
      <w:lvlJc w:val="left"/>
      <w:pPr>
        <w:ind w:left="720" w:hanging="360"/>
      </w:pPr>
      <w:rPr>
        <w:rFonts w:hint="default"/>
        <w:b w:val="0"/>
        <w:bCs w:val="0"/>
        <w:color w:val="auto"/>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09465F0"/>
    <w:multiLevelType w:val="hybridMultilevel"/>
    <w:tmpl w:val="1DDCFCCE"/>
    <w:lvl w:ilvl="0" w:tplc="0B504C6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37283779"/>
    <w:multiLevelType w:val="hybridMultilevel"/>
    <w:tmpl w:val="13EEE796"/>
    <w:lvl w:ilvl="0" w:tplc="380A0017">
      <w:start w:val="1"/>
      <w:numFmt w:val="lowerLetter"/>
      <w:lvlText w:val="%1)"/>
      <w:lvlJc w:val="left"/>
      <w:pPr>
        <w:ind w:left="720" w:hanging="360"/>
      </w:pPr>
      <w:rPr>
        <w:rFonts w:hint="default"/>
        <w:i w:val="0"/>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1" w15:restartNumberingAfterBreak="0">
    <w:nsid w:val="374C193F"/>
    <w:multiLevelType w:val="hybridMultilevel"/>
    <w:tmpl w:val="0F48A76C"/>
    <w:lvl w:ilvl="0" w:tplc="98B60012">
      <w:start w:val="1"/>
      <w:numFmt w:val="lowerLetter"/>
      <w:lvlText w:val="%1)"/>
      <w:lvlJc w:val="left"/>
      <w:pPr>
        <w:ind w:left="1004" w:hanging="360"/>
      </w:pPr>
      <w:rPr>
        <w:rFonts w:hint="default"/>
      </w:rPr>
    </w:lvl>
    <w:lvl w:ilvl="1" w:tplc="380A0019" w:tentative="1">
      <w:start w:val="1"/>
      <w:numFmt w:val="lowerLetter"/>
      <w:lvlText w:val="%2."/>
      <w:lvlJc w:val="left"/>
      <w:pPr>
        <w:ind w:left="1724" w:hanging="360"/>
      </w:pPr>
    </w:lvl>
    <w:lvl w:ilvl="2" w:tplc="380A001B" w:tentative="1">
      <w:start w:val="1"/>
      <w:numFmt w:val="lowerRoman"/>
      <w:lvlText w:val="%3."/>
      <w:lvlJc w:val="right"/>
      <w:pPr>
        <w:ind w:left="2444" w:hanging="180"/>
      </w:pPr>
    </w:lvl>
    <w:lvl w:ilvl="3" w:tplc="380A000F" w:tentative="1">
      <w:start w:val="1"/>
      <w:numFmt w:val="decimal"/>
      <w:lvlText w:val="%4."/>
      <w:lvlJc w:val="left"/>
      <w:pPr>
        <w:ind w:left="3164" w:hanging="360"/>
      </w:pPr>
    </w:lvl>
    <w:lvl w:ilvl="4" w:tplc="380A0019" w:tentative="1">
      <w:start w:val="1"/>
      <w:numFmt w:val="lowerLetter"/>
      <w:lvlText w:val="%5."/>
      <w:lvlJc w:val="left"/>
      <w:pPr>
        <w:ind w:left="3884" w:hanging="360"/>
      </w:pPr>
    </w:lvl>
    <w:lvl w:ilvl="5" w:tplc="380A001B" w:tentative="1">
      <w:start w:val="1"/>
      <w:numFmt w:val="lowerRoman"/>
      <w:lvlText w:val="%6."/>
      <w:lvlJc w:val="right"/>
      <w:pPr>
        <w:ind w:left="4604" w:hanging="180"/>
      </w:pPr>
    </w:lvl>
    <w:lvl w:ilvl="6" w:tplc="380A000F" w:tentative="1">
      <w:start w:val="1"/>
      <w:numFmt w:val="decimal"/>
      <w:lvlText w:val="%7."/>
      <w:lvlJc w:val="left"/>
      <w:pPr>
        <w:ind w:left="5324" w:hanging="360"/>
      </w:pPr>
    </w:lvl>
    <w:lvl w:ilvl="7" w:tplc="380A0019" w:tentative="1">
      <w:start w:val="1"/>
      <w:numFmt w:val="lowerLetter"/>
      <w:lvlText w:val="%8."/>
      <w:lvlJc w:val="left"/>
      <w:pPr>
        <w:ind w:left="6044" w:hanging="360"/>
      </w:pPr>
    </w:lvl>
    <w:lvl w:ilvl="8" w:tplc="380A001B" w:tentative="1">
      <w:start w:val="1"/>
      <w:numFmt w:val="lowerRoman"/>
      <w:lvlText w:val="%9."/>
      <w:lvlJc w:val="right"/>
      <w:pPr>
        <w:ind w:left="6764" w:hanging="180"/>
      </w:pPr>
    </w:lvl>
  </w:abstractNum>
  <w:abstractNum w:abstractNumId="22" w15:restartNumberingAfterBreak="0">
    <w:nsid w:val="389728F2"/>
    <w:multiLevelType w:val="hybridMultilevel"/>
    <w:tmpl w:val="D74E421E"/>
    <w:lvl w:ilvl="0" w:tplc="F47AAB5A">
      <w:start w:val="1"/>
      <w:numFmt w:val="decimal"/>
      <w:lvlText w:val="%1."/>
      <w:lvlJc w:val="left"/>
      <w:pPr>
        <w:ind w:left="720" w:hanging="360"/>
      </w:pPr>
      <w:rPr>
        <w:rFonts w:hint="default"/>
        <w:b w:val="0"/>
        <w:bCs w:val="0"/>
        <w:i w:val="0"/>
        <w:iCs w:val="0"/>
        <w:strike w:val="0"/>
        <w:color w:val="auto"/>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3CC33560"/>
    <w:multiLevelType w:val="hybridMultilevel"/>
    <w:tmpl w:val="B50E8E84"/>
    <w:lvl w:ilvl="0" w:tplc="380A0001">
      <w:start w:val="1"/>
      <w:numFmt w:val="bullet"/>
      <w:lvlText w:val=""/>
      <w:lvlJc w:val="left"/>
      <w:pPr>
        <w:ind w:left="1364" w:hanging="360"/>
      </w:pPr>
      <w:rPr>
        <w:rFonts w:ascii="Symbol" w:hAnsi="Symbol" w:hint="default"/>
      </w:rPr>
    </w:lvl>
    <w:lvl w:ilvl="1" w:tplc="380A0003" w:tentative="1">
      <w:start w:val="1"/>
      <w:numFmt w:val="bullet"/>
      <w:lvlText w:val="o"/>
      <w:lvlJc w:val="left"/>
      <w:pPr>
        <w:ind w:left="2084" w:hanging="360"/>
      </w:pPr>
      <w:rPr>
        <w:rFonts w:ascii="Courier New" w:hAnsi="Courier New" w:cs="Courier New" w:hint="default"/>
      </w:rPr>
    </w:lvl>
    <w:lvl w:ilvl="2" w:tplc="380A0005" w:tentative="1">
      <w:start w:val="1"/>
      <w:numFmt w:val="bullet"/>
      <w:lvlText w:val=""/>
      <w:lvlJc w:val="left"/>
      <w:pPr>
        <w:ind w:left="2804" w:hanging="360"/>
      </w:pPr>
      <w:rPr>
        <w:rFonts w:ascii="Wingdings" w:hAnsi="Wingdings" w:hint="default"/>
      </w:rPr>
    </w:lvl>
    <w:lvl w:ilvl="3" w:tplc="380A0001" w:tentative="1">
      <w:start w:val="1"/>
      <w:numFmt w:val="bullet"/>
      <w:lvlText w:val=""/>
      <w:lvlJc w:val="left"/>
      <w:pPr>
        <w:ind w:left="3524" w:hanging="360"/>
      </w:pPr>
      <w:rPr>
        <w:rFonts w:ascii="Symbol" w:hAnsi="Symbol" w:hint="default"/>
      </w:rPr>
    </w:lvl>
    <w:lvl w:ilvl="4" w:tplc="380A0003" w:tentative="1">
      <w:start w:val="1"/>
      <w:numFmt w:val="bullet"/>
      <w:lvlText w:val="o"/>
      <w:lvlJc w:val="left"/>
      <w:pPr>
        <w:ind w:left="4244" w:hanging="360"/>
      </w:pPr>
      <w:rPr>
        <w:rFonts w:ascii="Courier New" w:hAnsi="Courier New" w:cs="Courier New" w:hint="default"/>
      </w:rPr>
    </w:lvl>
    <w:lvl w:ilvl="5" w:tplc="380A0005" w:tentative="1">
      <w:start w:val="1"/>
      <w:numFmt w:val="bullet"/>
      <w:lvlText w:val=""/>
      <w:lvlJc w:val="left"/>
      <w:pPr>
        <w:ind w:left="4964" w:hanging="360"/>
      </w:pPr>
      <w:rPr>
        <w:rFonts w:ascii="Wingdings" w:hAnsi="Wingdings" w:hint="default"/>
      </w:rPr>
    </w:lvl>
    <w:lvl w:ilvl="6" w:tplc="380A0001" w:tentative="1">
      <w:start w:val="1"/>
      <w:numFmt w:val="bullet"/>
      <w:lvlText w:val=""/>
      <w:lvlJc w:val="left"/>
      <w:pPr>
        <w:ind w:left="5684" w:hanging="360"/>
      </w:pPr>
      <w:rPr>
        <w:rFonts w:ascii="Symbol" w:hAnsi="Symbol" w:hint="default"/>
      </w:rPr>
    </w:lvl>
    <w:lvl w:ilvl="7" w:tplc="380A0003" w:tentative="1">
      <w:start w:val="1"/>
      <w:numFmt w:val="bullet"/>
      <w:lvlText w:val="o"/>
      <w:lvlJc w:val="left"/>
      <w:pPr>
        <w:ind w:left="6404" w:hanging="360"/>
      </w:pPr>
      <w:rPr>
        <w:rFonts w:ascii="Courier New" w:hAnsi="Courier New" w:cs="Courier New" w:hint="default"/>
      </w:rPr>
    </w:lvl>
    <w:lvl w:ilvl="8" w:tplc="380A0005" w:tentative="1">
      <w:start w:val="1"/>
      <w:numFmt w:val="bullet"/>
      <w:lvlText w:val=""/>
      <w:lvlJc w:val="left"/>
      <w:pPr>
        <w:ind w:left="7124" w:hanging="360"/>
      </w:pPr>
      <w:rPr>
        <w:rFonts w:ascii="Wingdings" w:hAnsi="Wingdings" w:hint="default"/>
      </w:rPr>
    </w:lvl>
  </w:abstractNum>
  <w:abstractNum w:abstractNumId="24" w15:restartNumberingAfterBreak="0">
    <w:nsid w:val="3DD54508"/>
    <w:multiLevelType w:val="hybridMultilevel"/>
    <w:tmpl w:val="A628F918"/>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5" w15:restartNumberingAfterBreak="0">
    <w:nsid w:val="3E5740C1"/>
    <w:multiLevelType w:val="multilevel"/>
    <w:tmpl w:val="6AB663CC"/>
    <w:lvl w:ilvl="0">
      <w:start w:val="1"/>
      <w:numFmt w:val="decimal"/>
      <w:lvlText w:val="%1."/>
      <w:lvlJc w:val="left"/>
      <w:pPr>
        <w:ind w:left="720" w:hanging="360"/>
      </w:pPr>
      <w:rPr>
        <w:rFonts w:ascii="Arial" w:eastAsiaTheme="minorHAnsi" w:hAnsi="Arial" w:cs="Arial"/>
        <w:b/>
        <w:i w:val="0"/>
      </w:rPr>
    </w:lvl>
    <w:lvl w:ilvl="1">
      <w:start w:val="1"/>
      <w:numFmt w:val="decimal"/>
      <w:pStyle w:val="Ttulo2"/>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332447"/>
    <w:multiLevelType w:val="hybridMultilevel"/>
    <w:tmpl w:val="B3AA0220"/>
    <w:lvl w:ilvl="0" w:tplc="340A000F">
      <w:start w:val="1"/>
      <w:numFmt w:val="decimal"/>
      <w:lvlText w:val="%1."/>
      <w:lvlJc w:val="left"/>
      <w:pPr>
        <w:ind w:left="720" w:hanging="360"/>
      </w:pPr>
    </w:lvl>
    <w:lvl w:ilvl="1" w:tplc="340A0015">
      <w:start w:val="1"/>
      <w:numFmt w:val="upp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15:restartNumberingAfterBreak="0">
    <w:nsid w:val="43DA41A4"/>
    <w:multiLevelType w:val="hybridMultilevel"/>
    <w:tmpl w:val="48403F0A"/>
    <w:lvl w:ilvl="0" w:tplc="D7DA8106">
      <w:start w:val="1"/>
      <w:numFmt w:val="upperRoman"/>
      <w:lvlText w:val="%1."/>
      <w:lvlJc w:val="right"/>
      <w:pPr>
        <w:ind w:left="720" w:hanging="360"/>
      </w:pPr>
      <w:rPr>
        <w:b/>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449F4BD9"/>
    <w:multiLevelType w:val="hybridMultilevel"/>
    <w:tmpl w:val="1FE02948"/>
    <w:lvl w:ilvl="0" w:tplc="FFFFFFFF">
      <w:start w:val="1"/>
      <w:numFmt w:val="decimal"/>
      <w:lvlText w:val="%1."/>
      <w:lvlJc w:val="left"/>
      <w:pPr>
        <w:ind w:left="720" w:hanging="360"/>
      </w:pPr>
      <w:rPr>
        <w:rFonts w:hint="default"/>
        <w:b w:val="0"/>
        <w:bCs w:val="0"/>
        <w:i w:val="0"/>
        <w:i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CFD4C62"/>
    <w:multiLevelType w:val="hybridMultilevel"/>
    <w:tmpl w:val="AFD06344"/>
    <w:lvl w:ilvl="0" w:tplc="0C0A0015">
      <w:start w:val="9"/>
      <w:numFmt w:val="upperLetter"/>
      <w:lvlText w:val="%1."/>
      <w:lvlJc w:val="left"/>
      <w:pPr>
        <w:ind w:left="2268" w:hanging="360"/>
      </w:pPr>
      <w:rPr>
        <w:rFonts w:hint="default"/>
      </w:rPr>
    </w:lvl>
    <w:lvl w:ilvl="1" w:tplc="0C0A0019">
      <w:start w:val="1"/>
      <w:numFmt w:val="lowerLetter"/>
      <w:lvlText w:val="%2."/>
      <w:lvlJc w:val="left"/>
      <w:pPr>
        <w:ind w:left="2988" w:hanging="360"/>
      </w:pPr>
    </w:lvl>
    <w:lvl w:ilvl="2" w:tplc="20ACC0D2">
      <w:start w:val="4"/>
      <w:numFmt w:val="upperRoman"/>
      <w:lvlText w:val="%3."/>
      <w:lvlJc w:val="left"/>
      <w:pPr>
        <w:ind w:left="1004" w:hanging="720"/>
      </w:pPr>
      <w:rPr>
        <w:rFonts w:hint="default"/>
      </w:rPr>
    </w:lvl>
    <w:lvl w:ilvl="3" w:tplc="B3649AFE">
      <w:start w:val="1"/>
      <w:numFmt w:val="lowerLetter"/>
      <w:lvlText w:val="%4)"/>
      <w:lvlJc w:val="left"/>
      <w:pPr>
        <w:ind w:left="1353" w:hanging="360"/>
      </w:pPr>
      <w:rPr>
        <w:rFonts w:hint="default"/>
        <w:i/>
      </w:rPr>
    </w:lvl>
    <w:lvl w:ilvl="4" w:tplc="0C0A0019" w:tentative="1">
      <w:start w:val="1"/>
      <w:numFmt w:val="lowerLetter"/>
      <w:lvlText w:val="%5."/>
      <w:lvlJc w:val="left"/>
      <w:pPr>
        <w:ind w:left="5148" w:hanging="360"/>
      </w:pPr>
    </w:lvl>
    <w:lvl w:ilvl="5" w:tplc="0C0A001B" w:tentative="1">
      <w:start w:val="1"/>
      <w:numFmt w:val="lowerRoman"/>
      <w:lvlText w:val="%6."/>
      <w:lvlJc w:val="right"/>
      <w:pPr>
        <w:ind w:left="5868" w:hanging="180"/>
      </w:pPr>
    </w:lvl>
    <w:lvl w:ilvl="6" w:tplc="0C0A000F" w:tentative="1">
      <w:start w:val="1"/>
      <w:numFmt w:val="decimal"/>
      <w:lvlText w:val="%7."/>
      <w:lvlJc w:val="left"/>
      <w:pPr>
        <w:ind w:left="6588" w:hanging="360"/>
      </w:pPr>
    </w:lvl>
    <w:lvl w:ilvl="7" w:tplc="0C0A0019" w:tentative="1">
      <w:start w:val="1"/>
      <w:numFmt w:val="lowerLetter"/>
      <w:lvlText w:val="%8."/>
      <w:lvlJc w:val="left"/>
      <w:pPr>
        <w:ind w:left="7308" w:hanging="360"/>
      </w:pPr>
    </w:lvl>
    <w:lvl w:ilvl="8" w:tplc="0C0A001B" w:tentative="1">
      <w:start w:val="1"/>
      <w:numFmt w:val="lowerRoman"/>
      <w:lvlText w:val="%9."/>
      <w:lvlJc w:val="right"/>
      <w:pPr>
        <w:ind w:left="8028" w:hanging="180"/>
      </w:pPr>
    </w:lvl>
  </w:abstractNum>
  <w:abstractNum w:abstractNumId="30" w15:restartNumberingAfterBreak="0">
    <w:nsid w:val="4D4E5FD6"/>
    <w:multiLevelType w:val="hybridMultilevel"/>
    <w:tmpl w:val="E60A96EC"/>
    <w:lvl w:ilvl="0" w:tplc="340A000F">
      <w:start w:val="1"/>
      <w:numFmt w:val="decimal"/>
      <w:lvlText w:val="%1."/>
      <w:lvlJc w:val="left"/>
      <w:pPr>
        <w:ind w:left="720" w:hanging="360"/>
      </w:pPr>
    </w:lvl>
    <w:lvl w:ilvl="1" w:tplc="340A0001">
      <w:start w:val="1"/>
      <w:numFmt w:val="bullet"/>
      <w:lvlText w:val=""/>
      <w:lvlJc w:val="left"/>
      <w:pPr>
        <w:ind w:left="1440" w:hanging="360"/>
      </w:pPr>
      <w:rPr>
        <w:rFonts w:ascii="Symbol" w:hAnsi="Symbol" w:hint="default"/>
      </w:r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81EA7612">
      <w:start w:val="1"/>
      <w:numFmt w:val="upperLetter"/>
      <w:lvlText w:val="%5."/>
      <w:lvlJc w:val="left"/>
      <w:pPr>
        <w:ind w:left="3600" w:hanging="360"/>
      </w:pPr>
      <w:rPr>
        <w:rFonts w:hint="default"/>
      </w:r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15:restartNumberingAfterBreak="0">
    <w:nsid w:val="4E402D58"/>
    <w:multiLevelType w:val="hybridMultilevel"/>
    <w:tmpl w:val="E6C82A38"/>
    <w:lvl w:ilvl="0" w:tplc="58A425E4">
      <w:start w:val="1"/>
      <w:numFmt w:val="lowerRoman"/>
      <w:lvlText w:val="%1)"/>
      <w:lvlJc w:val="left"/>
      <w:pPr>
        <w:ind w:left="1800" w:hanging="720"/>
      </w:pPr>
      <w:rPr>
        <w:rFonts w:hint="default"/>
      </w:rPr>
    </w:lvl>
    <w:lvl w:ilvl="1" w:tplc="380A0019" w:tentative="1">
      <w:start w:val="1"/>
      <w:numFmt w:val="lowerLetter"/>
      <w:lvlText w:val="%2."/>
      <w:lvlJc w:val="left"/>
      <w:pPr>
        <w:ind w:left="2160" w:hanging="360"/>
      </w:pPr>
    </w:lvl>
    <w:lvl w:ilvl="2" w:tplc="380A001B" w:tentative="1">
      <w:start w:val="1"/>
      <w:numFmt w:val="lowerRoman"/>
      <w:lvlText w:val="%3."/>
      <w:lvlJc w:val="right"/>
      <w:pPr>
        <w:ind w:left="2880" w:hanging="180"/>
      </w:pPr>
    </w:lvl>
    <w:lvl w:ilvl="3" w:tplc="380A000F" w:tentative="1">
      <w:start w:val="1"/>
      <w:numFmt w:val="decimal"/>
      <w:lvlText w:val="%4."/>
      <w:lvlJc w:val="left"/>
      <w:pPr>
        <w:ind w:left="3600" w:hanging="360"/>
      </w:pPr>
    </w:lvl>
    <w:lvl w:ilvl="4" w:tplc="380A0019" w:tentative="1">
      <w:start w:val="1"/>
      <w:numFmt w:val="lowerLetter"/>
      <w:lvlText w:val="%5."/>
      <w:lvlJc w:val="left"/>
      <w:pPr>
        <w:ind w:left="4320" w:hanging="360"/>
      </w:pPr>
    </w:lvl>
    <w:lvl w:ilvl="5" w:tplc="380A001B" w:tentative="1">
      <w:start w:val="1"/>
      <w:numFmt w:val="lowerRoman"/>
      <w:lvlText w:val="%6."/>
      <w:lvlJc w:val="right"/>
      <w:pPr>
        <w:ind w:left="5040" w:hanging="180"/>
      </w:pPr>
    </w:lvl>
    <w:lvl w:ilvl="6" w:tplc="380A000F" w:tentative="1">
      <w:start w:val="1"/>
      <w:numFmt w:val="decimal"/>
      <w:lvlText w:val="%7."/>
      <w:lvlJc w:val="left"/>
      <w:pPr>
        <w:ind w:left="5760" w:hanging="360"/>
      </w:pPr>
    </w:lvl>
    <w:lvl w:ilvl="7" w:tplc="380A0019" w:tentative="1">
      <w:start w:val="1"/>
      <w:numFmt w:val="lowerLetter"/>
      <w:lvlText w:val="%8."/>
      <w:lvlJc w:val="left"/>
      <w:pPr>
        <w:ind w:left="6480" w:hanging="360"/>
      </w:pPr>
    </w:lvl>
    <w:lvl w:ilvl="8" w:tplc="380A001B" w:tentative="1">
      <w:start w:val="1"/>
      <w:numFmt w:val="lowerRoman"/>
      <w:lvlText w:val="%9."/>
      <w:lvlJc w:val="right"/>
      <w:pPr>
        <w:ind w:left="7200" w:hanging="180"/>
      </w:pPr>
    </w:lvl>
  </w:abstractNum>
  <w:abstractNum w:abstractNumId="32" w15:restartNumberingAfterBreak="0">
    <w:nsid w:val="4F3D1374"/>
    <w:multiLevelType w:val="hybridMultilevel"/>
    <w:tmpl w:val="43CC40C8"/>
    <w:lvl w:ilvl="0" w:tplc="09242964">
      <w:start w:val="65"/>
      <w:numFmt w:val="decimal"/>
      <w:lvlText w:val="%1"/>
      <w:lvlJc w:val="left"/>
      <w:pPr>
        <w:ind w:left="644" w:hanging="360"/>
      </w:pPr>
      <w:rPr>
        <w:rFonts w:hint="default"/>
      </w:rPr>
    </w:lvl>
    <w:lvl w:ilvl="1" w:tplc="380A0019" w:tentative="1">
      <w:start w:val="1"/>
      <w:numFmt w:val="lowerLetter"/>
      <w:lvlText w:val="%2."/>
      <w:lvlJc w:val="left"/>
      <w:pPr>
        <w:ind w:left="1364" w:hanging="360"/>
      </w:pPr>
    </w:lvl>
    <w:lvl w:ilvl="2" w:tplc="380A001B">
      <w:start w:val="1"/>
      <w:numFmt w:val="lowerRoman"/>
      <w:lvlText w:val="%3."/>
      <w:lvlJc w:val="right"/>
      <w:pPr>
        <w:ind w:left="2084" w:hanging="180"/>
      </w:pPr>
    </w:lvl>
    <w:lvl w:ilvl="3" w:tplc="380A000F" w:tentative="1">
      <w:start w:val="1"/>
      <w:numFmt w:val="decimal"/>
      <w:lvlText w:val="%4."/>
      <w:lvlJc w:val="left"/>
      <w:pPr>
        <w:ind w:left="2804" w:hanging="360"/>
      </w:pPr>
    </w:lvl>
    <w:lvl w:ilvl="4" w:tplc="380A0019" w:tentative="1">
      <w:start w:val="1"/>
      <w:numFmt w:val="lowerLetter"/>
      <w:lvlText w:val="%5."/>
      <w:lvlJc w:val="left"/>
      <w:pPr>
        <w:ind w:left="3524" w:hanging="360"/>
      </w:pPr>
    </w:lvl>
    <w:lvl w:ilvl="5" w:tplc="380A001B" w:tentative="1">
      <w:start w:val="1"/>
      <w:numFmt w:val="lowerRoman"/>
      <w:lvlText w:val="%6."/>
      <w:lvlJc w:val="right"/>
      <w:pPr>
        <w:ind w:left="4244" w:hanging="180"/>
      </w:pPr>
    </w:lvl>
    <w:lvl w:ilvl="6" w:tplc="380A000F" w:tentative="1">
      <w:start w:val="1"/>
      <w:numFmt w:val="decimal"/>
      <w:lvlText w:val="%7."/>
      <w:lvlJc w:val="left"/>
      <w:pPr>
        <w:ind w:left="4964" w:hanging="360"/>
      </w:pPr>
    </w:lvl>
    <w:lvl w:ilvl="7" w:tplc="380A0019" w:tentative="1">
      <w:start w:val="1"/>
      <w:numFmt w:val="lowerLetter"/>
      <w:lvlText w:val="%8."/>
      <w:lvlJc w:val="left"/>
      <w:pPr>
        <w:ind w:left="5684" w:hanging="360"/>
      </w:pPr>
    </w:lvl>
    <w:lvl w:ilvl="8" w:tplc="380A001B" w:tentative="1">
      <w:start w:val="1"/>
      <w:numFmt w:val="lowerRoman"/>
      <w:lvlText w:val="%9."/>
      <w:lvlJc w:val="right"/>
      <w:pPr>
        <w:ind w:left="6404" w:hanging="180"/>
      </w:pPr>
    </w:lvl>
  </w:abstractNum>
  <w:abstractNum w:abstractNumId="33" w15:restartNumberingAfterBreak="0">
    <w:nsid w:val="57F2182A"/>
    <w:multiLevelType w:val="hybridMultilevel"/>
    <w:tmpl w:val="AD1A42BE"/>
    <w:lvl w:ilvl="0" w:tplc="0D1EA710">
      <w:start w:val="1"/>
      <w:numFmt w:val="lowerLetter"/>
      <w:lvlText w:val="%1)"/>
      <w:lvlJc w:val="left"/>
      <w:pPr>
        <w:ind w:left="1364" w:hanging="360"/>
      </w:pPr>
      <w:rPr>
        <w:rFonts w:hint="default"/>
      </w:rPr>
    </w:lvl>
    <w:lvl w:ilvl="1" w:tplc="380A0019" w:tentative="1">
      <w:start w:val="1"/>
      <w:numFmt w:val="lowerLetter"/>
      <w:lvlText w:val="%2."/>
      <w:lvlJc w:val="left"/>
      <w:pPr>
        <w:ind w:left="2084" w:hanging="360"/>
      </w:pPr>
    </w:lvl>
    <w:lvl w:ilvl="2" w:tplc="380A001B" w:tentative="1">
      <w:start w:val="1"/>
      <w:numFmt w:val="lowerRoman"/>
      <w:lvlText w:val="%3."/>
      <w:lvlJc w:val="right"/>
      <w:pPr>
        <w:ind w:left="2804" w:hanging="180"/>
      </w:pPr>
    </w:lvl>
    <w:lvl w:ilvl="3" w:tplc="380A000F" w:tentative="1">
      <w:start w:val="1"/>
      <w:numFmt w:val="decimal"/>
      <w:lvlText w:val="%4."/>
      <w:lvlJc w:val="left"/>
      <w:pPr>
        <w:ind w:left="3524" w:hanging="360"/>
      </w:pPr>
    </w:lvl>
    <w:lvl w:ilvl="4" w:tplc="380A0019" w:tentative="1">
      <w:start w:val="1"/>
      <w:numFmt w:val="lowerLetter"/>
      <w:lvlText w:val="%5."/>
      <w:lvlJc w:val="left"/>
      <w:pPr>
        <w:ind w:left="4244" w:hanging="360"/>
      </w:pPr>
    </w:lvl>
    <w:lvl w:ilvl="5" w:tplc="380A001B" w:tentative="1">
      <w:start w:val="1"/>
      <w:numFmt w:val="lowerRoman"/>
      <w:lvlText w:val="%6."/>
      <w:lvlJc w:val="right"/>
      <w:pPr>
        <w:ind w:left="4964" w:hanging="180"/>
      </w:pPr>
    </w:lvl>
    <w:lvl w:ilvl="6" w:tplc="380A000F" w:tentative="1">
      <w:start w:val="1"/>
      <w:numFmt w:val="decimal"/>
      <w:lvlText w:val="%7."/>
      <w:lvlJc w:val="left"/>
      <w:pPr>
        <w:ind w:left="5684" w:hanging="360"/>
      </w:pPr>
    </w:lvl>
    <w:lvl w:ilvl="7" w:tplc="380A0019" w:tentative="1">
      <w:start w:val="1"/>
      <w:numFmt w:val="lowerLetter"/>
      <w:lvlText w:val="%8."/>
      <w:lvlJc w:val="left"/>
      <w:pPr>
        <w:ind w:left="6404" w:hanging="360"/>
      </w:pPr>
    </w:lvl>
    <w:lvl w:ilvl="8" w:tplc="380A001B" w:tentative="1">
      <w:start w:val="1"/>
      <w:numFmt w:val="lowerRoman"/>
      <w:lvlText w:val="%9."/>
      <w:lvlJc w:val="right"/>
      <w:pPr>
        <w:ind w:left="7124" w:hanging="180"/>
      </w:pPr>
    </w:lvl>
  </w:abstractNum>
  <w:abstractNum w:abstractNumId="34" w15:restartNumberingAfterBreak="0">
    <w:nsid w:val="5E970FF1"/>
    <w:multiLevelType w:val="hybridMultilevel"/>
    <w:tmpl w:val="806AFEB4"/>
    <w:lvl w:ilvl="0" w:tplc="0C0A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5" w15:restartNumberingAfterBreak="0">
    <w:nsid w:val="695A003B"/>
    <w:multiLevelType w:val="hybridMultilevel"/>
    <w:tmpl w:val="E36C4ED8"/>
    <w:lvl w:ilvl="0" w:tplc="7068AE16">
      <w:start w:val="1"/>
      <w:numFmt w:val="lowerLetter"/>
      <w:lvlText w:val="%1."/>
      <w:lvlJc w:val="left"/>
      <w:pPr>
        <w:ind w:left="144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15:restartNumberingAfterBreak="0">
    <w:nsid w:val="69F40F5C"/>
    <w:multiLevelType w:val="hybridMultilevel"/>
    <w:tmpl w:val="AE0EE9B6"/>
    <w:lvl w:ilvl="0" w:tplc="A0BE2E0C">
      <w:start w:val="1"/>
      <w:numFmt w:val="lowerLetter"/>
      <w:lvlText w:val="%1)"/>
      <w:lvlJc w:val="left"/>
      <w:pPr>
        <w:ind w:left="720" w:hanging="360"/>
      </w:pPr>
      <w:rPr>
        <w:rFonts w:hint="default"/>
        <w:b/>
        <w:bCs w:val="0"/>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7" w15:restartNumberingAfterBreak="0">
    <w:nsid w:val="6BA01EB5"/>
    <w:multiLevelType w:val="hybridMultilevel"/>
    <w:tmpl w:val="755E1524"/>
    <w:lvl w:ilvl="0" w:tplc="380A0001">
      <w:start w:val="1"/>
      <w:numFmt w:val="bullet"/>
      <w:lvlText w:val=""/>
      <w:lvlJc w:val="left"/>
      <w:pPr>
        <w:ind w:left="1440" w:hanging="360"/>
      </w:pPr>
      <w:rPr>
        <w:rFonts w:ascii="Symbol" w:hAnsi="Symbol"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38" w15:restartNumberingAfterBreak="0">
    <w:nsid w:val="6CF07C4D"/>
    <w:multiLevelType w:val="hybridMultilevel"/>
    <w:tmpl w:val="B5C8342C"/>
    <w:lvl w:ilvl="0" w:tplc="7206BA1E">
      <w:start w:val="1"/>
      <w:numFmt w:val="decimal"/>
      <w:pStyle w:val="Prrafodelista"/>
      <w:lvlText w:val="%1."/>
      <w:lvlJc w:val="left"/>
      <w:pPr>
        <w:ind w:left="360" w:hanging="360"/>
      </w:pPr>
      <w:rPr>
        <w:rFonts w:hint="default"/>
      </w:rPr>
    </w:lvl>
    <w:lvl w:ilvl="1" w:tplc="0C0A0001">
      <w:start w:val="1"/>
      <w:numFmt w:val="bullet"/>
      <w:lvlText w:val=""/>
      <w:lvlJc w:val="left"/>
      <w:pPr>
        <w:ind w:left="1440" w:hanging="360"/>
      </w:pPr>
      <w:rPr>
        <w:rFonts w:ascii="Symbol" w:hAnsi="Symbol" w:hint="default"/>
      </w:rPr>
    </w:lvl>
    <w:lvl w:ilvl="2" w:tplc="4F3C3FA2">
      <w:start w:val="3"/>
      <w:numFmt w:val="upperRoman"/>
      <w:lvlText w:val="%3."/>
      <w:lvlJc w:val="left"/>
      <w:pPr>
        <w:ind w:left="1004" w:hanging="72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38F064C"/>
    <w:multiLevelType w:val="hybridMultilevel"/>
    <w:tmpl w:val="64AC9F0C"/>
    <w:lvl w:ilvl="0" w:tplc="380A0001">
      <w:start w:val="1"/>
      <w:numFmt w:val="bullet"/>
      <w:lvlText w:val=""/>
      <w:lvlJc w:val="left"/>
      <w:pPr>
        <w:ind w:left="1440" w:hanging="360"/>
      </w:pPr>
      <w:rPr>
        <w:rFonts w:ascii="Symbol" w:hAnsi="Symbol"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40" w15:restartNumberingAfterBreak="0">
    <w:nsid w:val="75B2049A"/>
    <w:multiLevelType w:val="hybridMultilevel"/>
    <w:tmpl w:val="4DAAC24C"/>
    <w:lvl w:ilvl="0" w:tplc="380A0001">
      <w:start w:val="1"/>
      <w:numFmt w:val="bullet"/>
      <w:lvlText w:val=""/>
      <w:lvlJc w:val="left"/>
      <w:pPr>
        <w:ind w:left="1512" w:hanging="360"/>
      </w:pPr>
      <w:rPr>
        <w:rFonts w:ascii="Symbol" w:hAnsi="Symbol" w:hint="default"/>
      </w:rPr>
    </w:lvl>
    <w:lvl w:ilvl="1" w:tplc="380A0003" w:tentative="1">
      <w:start w:val="1"/>
      <w:numFmt w:val="bullet"/>
      <w:lvlText w:val="o"/>
      <w:lvlJc w:val="left"/>
      <w:pPr>
        <w:ind w:left="2232" w:hanging="360"/>
      </w:pPr>
      <w:rPr>
        <w:rFonts w:ascii="Courier New" w:hAnsi="Courier New" w:cs="Courier New" w:hint="default"/>
      </w:rPr>
    </w:lvl>
    <w:lvl w:ilvl="2" w:tplc="380A0005" w:tentative="1">
      <w:start w:val="1"/>
      <w:numFmt w:val="bullet"/>
      <w:lvlText w:val=""/>
      <w:lvlJc w:val="left"/>
      <w:pPr>
        <w:ind w:left="2952" w:hanging="360"/>
      </w:pPr>
      <w:rPr>
        <w:rFonts w:ascii="Wingdings" w:hAnsi="Wingdings" w:hint="default"/>
      </w:rPr>
    </w:lvl>
    <w:lvl w:ilvl="3" w:tplc="380A0001" w:tentative="1">
      <w:start w:val="1"/>
      <w:numFmt w:val="bullet"/>
      <w:lvlText w:val=""/>
      <w:lvlJc w:val="left"/>
      <w:pPr>
        <w:ind w:left="3672" w:hanging="360"/>
      </w:pPr>
      <w:rPr>
        <w:rFonts w:ascii="Symbol" w:hAnsi="Symbol" w:hint="default"/>
      </w:rPr>
    </w:lvl>
    <w:lvl w:ilvl="4" w:tplc="380A0003" w:tentative="1">
      <w:start w:val="1"/>
      <w:numFmt w:val="bullet"/>
      <w:lvlText w:val="o"/>
      <w:lvlJc w:val="left"/>
      <w:pPr>
        <w:ind w:left="4392" w:hanging="360"/>
      </w:pPr>
      <w:rPr>
        <w:rFonts w:ascii="Courier New" w:hAnsi="Courier New" w:cs="Courier New" w:hint="default"/>
      </w:rPr>
    </w:lvl>
    <w:lvl w:ilvl="5" w:tplc="380A0005" w:tentative="1">
      <w:start w:val="1"/>
      <w:numFmt w:val="bullet"/>
      <w:lvlText w:val=""/>
      <w:lvlJc w:val="left"/>
      <w:pPr>
        <w:ind w:left="5112" w:hanging="360"/>
      </w:pPr>
      <w:rPr>
        <w:rFonts w:ascii="Wingdings" w:hAnsi="Wingdings" w:hint="default"/>
      </w:rPr>
    </w:lvl>
    <w:lvl w:ilvl="6" w:tplc="380A0001" w:tentative="1">
      <w:start w:val="1"/>
      <w:numFmt w:val="bullet"/>
      <w:lvlText w:val=""/>
      <w:lvlJc w:val="left"/>
      <w:pPr>
        <w:ind w:left="5832" w:hanging="360"/>
      </w:pPr>
      <w:rPr>
        <w:rFonts w:ascii="Symbol" w:hAnsi="Symbol" w:hint="default"/>
      </w:rPr>
    </w:lvl>
    <w:lvl w:ilvl="7" w:tplc="380A0003" w:tentative="1">
      <w:start w:val="1"/>
      <w:numFmt w:val="bullet"/>
      <w:lvlText w:val="o"/>
      <w:lvlJc w:val="left"/>
      <w:pPr>
        <w:ind w:left="6552" w:hanging="360"/>
      </w:pPr>
      <w:rPr>
        <w:rFonts w:ascii="Courier New" w:hAnsi="Courier New" w:cs="Courier New" w:hint="default"/>
      </w:rPr>
    </w:lvl>
    <w:lvl w:ilvl="8" w:tplc="380A0005" w:tentative="1">
      <w:start w:val="1"/>
      <w:numFmt w:val="bullet"/>
      <w:lvlText w:val=""/>
      <w:lvlJc w:val="left"/>
      <w:pPr>
        <w:ind w:left="7272" w:hanging="360"/>
      </w:pPr>
      <w:rPr>
        <w:rFonts w:ascii="Wingdings" w:hAnsi="Wingdings" w:hint="default"/>
      </w:rPr>
    </w:lvl>
  </w:abstractNum>
  <w:abstractNum w:abstractNumId="41" w15:restartNumberingAfterBreak="0">
    <w:nsid w:val="7B0F541E"/>
    <w:multiLevelType w:val="hybridMultilevel"/>
    <w:tmpl w:val="87E2556C"/>
    <w:lvl w:ilvl="0" w:tplc="79C87DBE">
      <w:start w:val="6"/>
      <w:numFmt w:val="decimal"/>
      <w:lvlText w:val="%1."/>
      <w:lvlJc w:val="left"/>
      <w:pPr>
        <w:ind w:left="720" w:hanging="360"/>
      </w:pPr>
      <w:rPr>
        <w:rFonts w:hint="default"/>
        <w:b w:val="0"/>
        <w:color w:val="auto"/>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7F51101E"/>
    <w:multiLevelType w:val="hybridMultilevel"/>
    <w:tmpl w:val="49720DB2"/>
    <w:lvl w:ilvl="0" w:tplc="B1FE0CD0">
      <w:start w:val="1"/>
      <w:numFmt w:val="decimal"/>
      <w:lvlText w:val="%1."/>
      <w:lvlJc w:val="left"/>
      <w:pPr>
        <w:ind w:left="720" w:hanging="360"/>
      </w:pPr>
      <w:rPr>
        <w:rFonts w:ascii="Courier New" w:hAnsi="Courier New" w:cs="Courier New" w:hint="default"/>
        <w:b w:val="0"/>
        <w:color w:val="333333"/>
      </w:rPr>
    </w:lvl>
    <w:lvl w:ilvl="1" w:tplc="C9D8D65C">
      <w:start w:val="1"/>
      <w:numFmt w:val="lowerLetter"/>
      <w:lvlText w:val="%2)"/>
      <w:lvlJc w:val="left"/>
      <w:pPr>
        <w:ind w:left="1620" w:hanging="54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6"/>
  </w:num>
  <w:num w:numId="2">
    <w:abstractNumId w:val="38"/>
  </w:num>
  <w:num w:numId="3">
    <w:abstractNumId w:val="30"/>
  </w:num>
  <w:num w:numId="4">
    <w:abstractNumId w:val="35"/>
  </w:num>
  <w:num w:numId="5">
    <w:abstractNumId w:val="19"/>
  </w:num>
  <w:num w:numId="6">
    <w:abstractNumId w:val="3"/>
  </w:num>
  <w:num w:numId="7">
    <w:abstractNumId w:val="29"/>
  </w:num>
  <w:num w:numId="8">
    <w:abstractNumId w:val="27"/>
  </w:num>
  <w:num w:numId="9">
    <w:abstractNumId w:val="38"/>
    <w:lvlOverride w:ilvl="0">
      <w:startOverride w:val="1"/>
    </w:lvlOverride>
    <w:lvlOverride w:ilvl="1">
      <w:startOverride w:val="1"/>
    </w:lvlOverride>
    <w:lvlOverride w:ilvl="2">
      <w:startOverride w:val="4"/>
    </w:lvlOverride>
  </w:num>
  <w:num w:numId="10">
    <w:abstractNumId w:val="38"/>
    <w:lvlOverride w:ilvl="0">
      <w:startOverride w:val="1"/>
    </w:lvlOverride>
    <w:lvlOverride w:ilvl="1">
      <w:startOverride w:val="1"/>
    </w:lvlOverride>
    <w:lvlOverride w:ilvl="2">
      <w:startOverride w:val="5"/>
    </w:lvlOverride>
  </w:num>
  <w:num w:numId="11">
    <w:abstractNumId w:val="14"/>
  </w:num>
  <w:num w:numId="12">
    <w:abstractNumId w:val="10"/>
  </w:num>
  <w:num w:numId="13">
    <w:abstractNumId w:val="5"/>
  </w:num>
  <w:num w:numId="14">
    <w:abstractNumId w:val="11"/>
  </w:num>
  <w:num w:numId="15">
    <w:abstractNumId w:val="2"/>
  </w:num>
  <w:num w:numId="16">
    <w:abstractNumId w:val="42"/>
  </w:num>
  <w:num w:numId="17">
    <w:abstractNumId w:val="15"/>
  </w:num>
  <w:num w:numId="18">
    <w:abstractNumId w:val="34"/>
  </w:num>
  <w:num w:numId="19">
    <w:abstractNumId w:val="17"/>
  </w:num>
  <w:num w:numId="20">
    <w:abstractNumId w:val="22"/>
  </w:num>
  <w:num w:numId="21">
    <w:abstractNumId w:val="16"/>
  </w:num>
  <w:num w:numId="22">
    <w:abstractNumId w:val="9"/>
  </w:num>
  <w:num w:numId="23">
    <w:abstractNumId w:val="40"/>
  </w:num>
  <w:num w:numId="24">
    <w:abstractNumId w:val="23"/>
  </w:num>
  <w:num w:numId="25">
    <w:abstractNumId w:val="1"/>
  </w:num>
  <w:num w:numId="26">
    <w:abstractNumId w:val="41"/>
  </w:num>
  <w:num w:numId="27">
    <w:abstractNumId w:val="24"/>
  </w:num>
  <w:num w:numId="28">
    <w:abstractNumId w:val="18"/>
  </w:num>
  <w:num w:numId="29">
    <w:abstractNumId w:val="6"/>
  </w:num>
  <w:num w:numId="30">
    <w:abstractNumId w:val="13"/>
  </w:num>
  <w:num w:numId="31">
    <w:abstractNumId w:val="25"/>
  </w:num>
  <w:num w:numId="32">
    <w:abstractNumId w:val="32"/>
  </w:num>
  <w:num w:numId="33">
    <w:abstractNumId w:val="28"/>
  </w:num>
  <w:num w:numId="34">
    <w:abstractNumId w:val="39"/>
  </w:num>
  <w:num w:numId="35">
    <w:abstractNumId w:val="21"/>
  </w:num>
  <w:num w:numId="36">
    <w:abstractNumId w:val="0"/>
  </w:num>
  <w:num w:numId="37">
    <w:abstractNumId w:val="4"/>
  </w:num>
  <w:num w:numId="38">
    <w:abstractNumId w:val="8"/>
  </w:num>
  <w:num w:numId="39">
    <w:abstractNumId w:val="7"/>
  </w:num>
  <w:num w:numId="40">
    <w:abstractNumId w:val="33"/>
  </w:num>
  <w:num w:numId="41">
    <w:abstractNumId w:val="20"/>
  </w:num>
  <w:num w:numId="42">
    <w:abstractNumId w:val="12"/>
  </w:num>
  <w:num w:numId="43">
    <w:abstractNumId w:val="31"/>
  </w:num>
  <w:num w:numId="44">
    <w:abstractNumId w:val="36"/>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33E"/>
    <w:rsid w:val="000037C9"/>
    <w:rsid w:val="00004308"/>
    <w:rsid w:val="0000452D"/>
    <w:rsid w:val="000129E9"/>
    <w:rsid w:val="000133B2"/>
    <w:rsid w:val="00013FEF"/>
    <w:rsid w:val="00014430"/>
    <w:rsid w:val="000155F9"/>
    <w:rsid w:val="00017BF1"/>
    <w:rsid w:val="00022063"/>
    <w:rsid w:val="0002282B"/>
    <w:rsid w:val="0002301E"/>
    <w:rsid w:val="000230D1"/>
    <w:rsid w:val="00023F20"/>
    <w:rsid w:val="0002533E"/>
    <w:rsid w:val="00026582"/>
    <w:rsid w:val="0002684B"/>
    <w:rsid w:val="0002684F"/>
    <w:rsid w:val="00026CD5"/>
    <w:rsid w:val="0002727A"/>
    <w:rsid w:val="00027DDA"/>
    <w:rsid w:val="000319F0"/>
    <w:rsid w:val="00031BEB"/>
    <w:rsid w:val="0003221F"/>
    <w:rsid w:val="00032A54"/>
    <w:rsid w:val="00032AC6"/>
    <w:rsid w:val="00033323"/>
    <w:rsid w:val="00033CF2"/>
    <w:rsid w:val="00034EB8"/>
    <w:rsid w:val="000363B0"/>
    <w:rsid w:val="0004059B"/>
    <w:rsid w:val="00041313"/>
    <w:rsid w:val="00043170"/>
    <w:rsid w:val="00044CB2"/>
    <w:rsid w:val="0004673E"/>
    <w:rsid w:val="00047790"/>
    <w:rsid w:val="00047CBF"/>
    <w:rsid w:val="0005068C"/>
    <w:rsid w:val="000519C4"/>
    <w:rsid w:val="00053C49"/>
    <w:rsid w:val="000541B5"/>
    <w:rsid w:val="000559A4"/>
    <w:rsid w:val="00056EB3"/>
    <w:rsid w:val="00060082"/>
    <w:rsid w:val="00061FE4"/>
    <w:rsid w:val="00062E22"/>
    <w:rsid w:val="00065AE8"/>
    <w:rsid w:val="00070FD7"/>
    <w:rsid w:val="0007377C"/>
    <w:rsid w:val="00077E6B"/>
    <w:rsid w:val="00083B7A"/>
    <w:rsid w:val="00084DA0"/>
    <w:rsid w:val="00085727"/>
    <w:rsid w:val="00085CD6"/>
    <w:rsid w:val="00086E3C"/>
    <w:rsid w:val="00090B2F"/>
    <w:rsid w:val="00092585"/>
    <w:rsid w:val="00092C43"/>
    <w:rsid w:val="00092D30"/>
    <w:rsid w:val="00094313"/>
    <w:rsid w:val="00097867"/>
    <w:rsid w:val="000A2341"/>
    <w:rsid w:val="000B0669"/>
    <w:rsid w:val="000B0F58"/>
    <w:rsid w:val="000B17AC"/>
    <w:rsid w:val="000B2C58"/>
    <w:rsid w:val="000B2DCA"/>
    <w:rsid w:val="000B5B23"/>
    <w:rsid w:val="000B601F"/>
    <w:rsid w:val="000B6364"/>
    <w:rsid w:val="000B6F5A"/>
    <w:rsid w:val="000B7641"/>
    <w:rsid w:val="000C488E"/>
    <w:rsid w:val="000C4897"/>
    <w:rsid w:val="000C7C01"/>
    <w:rsid w:val="000D0982"/>
    <w:rsid w:val="000D3D2C"/>
    <w:rsid w:val="000D4BD2"/>
    <w:rsid w:val="000D6F68"/>
    <w:rsid w:val="000D704B"/>
    <w:rsid w:val="000E0696"/>
    <w:rsid w:val="000E245B"/>
    <w:rsid w:val="000E28BA"/>
    <w:rsid w:val="000E4A76"/>
    <w:rsid w:val="000E68EA"/>
    <w:rsid w:val="000F44EA"/>
    <w:rsid w:val="000F60C6"/>
    <w:rsid w:val="000F70D9"/>
    <w:rsid w:val="001020B7"/>
    <w:rsid w:val="001046F4"/>
    <w:rsid w:val="001078CA"/>
    <w:rsid w:val="0012333F"/>
    <w:rsid w:val="00123E48"/>
    <w:rsid w:val="0013044F"/>
    <w:rsid w:val="00130BB4"/>
    <w:rsid w:val="00131F65"/>
    <w:rsid w:val="0013355F"/>
    <w:rsid w:val="00134056"/>
    <w:rsid w:val="001359C9"/>
    <w:rsid w:val="001420EA"/>
    <w:rsid w:val="00142677"/>
    <w:rsid w:val="00143FAB"/>
    <w:rsid w:val="001463FB"/>
    <w:rsid w:val="00146D76"/>
    <w:rsid w:val="00150345"/>
    <w:rsid w:val="001503F4"/>
    <w:rsid w:val="00153C7E"/>
    <w:rsid w:val="00154409"/>
    <w:rsid w:val="00156379"/>
    <w:rsid w:val="0016026E"/>
    <w:rsid w:val="0016252F"/>
    <w:rsid w:val="00164311"/>
    <w:rsid w:val="00165B18"/>
    <w:rsid w:val="00166A76"/>
    <w:rsid w:val="001737FD"/>
    <w:rsid w:val="0017472C"/>
    <w:rsid w:val="00176F61"/>
    <w:rsid w:val="001814A9"/>
    <w:rsid w:val="001818AA"/>
    <w:rsid w:val="00181967"/>
    <w:rsid w:val="0018250B"/>
    <w:rsid w:val="00183AC2"/>
    <w:rsid w:val="00183CAC"/>
    <w:rsid w:val="00183DEF"/>
    <w:rsid w:val="00185AE9"/>
    <w:rsid w:val="0018754C"/>
    <w:rsid w:val="0019116C"/>
    <w:rsid w:val="00191528"/>
    <w:rsid w:val="0019189B"/>
    <w:rsid w:val="00191A30"/>
    <w:rsid w:val="00191EB3"/>
    <w:rsid w:val="00192F1D"/>
    <w:rsid w:val="0019514E"/>
    <w:rsid w:val="001961B9"/>
    <w:rsid w:val="0019763C"/>
    <w:rsid w:val="001A0C32"/>
    <w:rsid w:val="001A30A7"/>
    <w:rsid w:val="001B1736"/>
    <w:rsid w:val="001B2567"/>
    <w:rsid w:val="001B381D"/>
    <w:rsid w:val="001B3840"/>
    <w:rsid w:val="001B45D3"/>
    <w:rsid w:val="001B51C2"/>
    <w:rsid w:val="001B736D"/>
    <w:rsid w:val="001C2C72"/>
    <w:rsid w:val="001C3FB6"/>
    <w:rsid w:val="001C41E4"/>
    <w:rsid w:val="001C44FB"/>
    <w:rsid w:val="001C4DA4"/>
    <w:rsid w:val="001C5D45"/>
    <w:rsid w:val="001C6447"/>
    <w:rsid w:val="001C78AD"/>
    <w:rsid w:val="001D09E1"/>
    <w:rsid w:val="001D3F92"/>
    <w:rsid w:val="001D4F84"/>
    <w:rsid w:val="001D6CBC"/>
    <w:rsid w:val="001E0354"/>
    <w:rsid w:val="001E0E1B"/>
    <w:rsid w:val="001E670A"/>
    <w:rsid w:val="001F3302"/>
    <w:rsid w:val="002003EA"/>
    <w:rsid w:val="002035F1"/>
    <w:rsid w:val="00204A31"/>
    <w:rsid w:val="002061E3"/>
    <w:rsid w:val="0020728E"/>
    <w:rsid w:val="002108C1"/>
    <w:rsid w:val="0021122B"/>
    <w:rsid w:val="00211605"/>
    <w:rsid w:val="0021264E"/>
    <w:rsid w:val="00213BF4"/>
    <w:rsid w:val="00215575"/>
    <w:rsid w:val="00215B1D"/>
    <w:rsid w:val="0021744B"/>
    <w:rsid w:val="00220F60"/>
    <w:rsid w:val="0022131D"/>
    <w:rsid w:val="002243DF"/>
    <w:rsid w:val="00227F3A"/>
    <w:rsid w:val="00234DE3"/>
    <w:rsid w:val="002351C7"/>
    <w:rsid w:val="002414A0"/>
    <w:rsid w:val="00243333"/>
    <w:rsid w:val="002438D3"/>
    <w:rsid w:val="00245184"/>
    <w:rsid w:val="0024682B"/>
    <w:rsid w:val="00251EAD"/>
    <w:rsid w:val="002536DA"/>
    <w:rsid w:val="0025433B"/>
    <w:rsid w:val="00260813"/>
    <w:rsid w:val="0026157D"/>
    <w:rsid w:val="002642DE"/>
    <w:rsid w:val="00264544"/>
    <w:rsid w:val="002645C6"/>
    <w:rsid w:val="00267857"/>
    <w:rsid w:val="00270255"/>
    <w:rsid w:val="00273BCC"/>
    <w:rsid w:val="00274683"/>
    <w:rsid w:val="0027501A"/>
    <w:rsid w:val="00275B6D"/>
    <w:rsid w:val="00276781"/>
    <w:rsid w:val="002810FE"/>
    <w:rsid w:val="00282C84"/>
    <w:rsid w:val="00282CFB"/>
    <w:rsid w:val="00284523"/>
    <w:rsid w:val="00285615"/>
    <w:rsid w:val="00286C5F"/>
    <w:rsid w:val="002908D5"/>
    <w:rsid w:val="00294BB9"/>
    <w:rsid w:val="002954D9"/>
    <w:rsid w:val="002A109A"/>
    <w:rsid w:val="002A186A"/>
    <w:rsid w:val="002A2CEB"/>
    <w:rsid w:val="002A31C3"/>
    <w:rsid w:val="002A350B"/>
    <w:rsid w:val="002A4D11"/>
    <w:rsid w:val="002A4FEA"/>
    <w:rsid w:val="002A790D"/>
    <w:rsid w:val="002B07BF"/>
    <w:rsid w:val="002B63F0"/>
    <w:rsid w:val="002C2426"/>
    <w:rsid w:val="002C4E44"/>
    <w:rsid w:val="002D481F"/>
    <w:rsid w:val="002D59AD"/>
    <w:rsid w:val="002D6182"/>
    <w:rsid w:val="002D7036"/>
    <w:rsid w:val="002E2116"/>
    <w:rsid w:val="002E35F6"/>
    <w:rsid w:val="002E7FE4"/>
    <w:rsid w:val="002F23AA"/>
    <w:rsid w:val="002F42DA"/>
    <w:rsid w:val="002F4C06"/>
    <w:rsid w:val="002F5645"/>
    <w:rsid w:val="00300D90"/>
    <w:rsid w:val="00302CE0"/>
    <w:rsid w:val="00304A71"/>
    <w:rsid w:val="00306D8E"/>
    <w:rsid w:val="00306DB6"/>
    <w:rsid w:val="003078D3"/>
    <w:rsid w:val="00310C37"/>
    <w:rsid w:val="0031464C"/>
    <w:rsid w:val="00315CB6"/>
    <w:rsid w:val="00316A55"/>
    <w:rsid w:val="00317332"/>
    <w:rsid w:val="003175AC"/>
    <w:rsid w:val="00320A58"/>
    <w:rsid w:val="00321076"/>
    <w:rsid w:val="003235F5"/>
    <w:rsid w:val="00323D51"/>
    <w:rsid w:val="00327FE3"/>
    <w:rsid w:val="00334AC1"/>
    <w:rsid w:val="00335287"/>
    <w:rsid w:val="00336835"/>
    <w:rsid w:val="00337C5C"/>
    <w:rsid w:val="00341F24"/>
    <w:rsid w:val="0034240E"/>
    <w:rsid w:val="00342639"/>
    <w:rsid w:val="00342938"/>
    <w:rsid w:val="00342DF1"/>
    <w:rsid w:val="00342E89"/>
    <w:rsid w:val="00345981"/>
    <w:rsid w:val="003465BC"/>
    <w:rsid w:val="00346C07"/>
    <w:rsid w:val="00347CCD"/>
    <w:rsid w:val="00350B13"/>
    <w:rsid w:val="00357A89"/>
    <w:rsid w:val="00357B6E"/>
    <w:rsid w:val="00357E69"/>
    <w:rsid w:val="00361721"/>
    <w:rsid w:val="00370FDE"/>
    <w:rsid w:val="0037549A"/>
    <w:rsid w:val="0037673E"/>
    <w:rsid w:val="0038269E"/>
    <w:rsid w:val="00385A63"/>
    <w:rsid w:val="00387DE3"/>
    <w:rsid w:val="003916F3"/>
    <w:rsid w:val="00392643"/>
    <w:rsid w:val="00397D17"/>
    <w:rsid w:val="003A18A1"/>
    <w:rsid w:val="003A2969"/>
    <w:rsid w:val="003A5112"/>
    <w:rsid w:val="003A64BF"/>
    <w:rsid w:val="003A7FE9"/>
    <w:rsid w:val="003B0197"/>
    <w:rsid w:val="003B12A6"/>
    <w:rsid w:val="003B12F5"/>
    <w:rsid w:val="003B18C1"/>
    <w:rsid w:val="003B51A7"/>
    <w:rsid w:val="003B5248"/>
    <w:rsid w:val="003C1342"/>
    <w:rsid w:val="003C21BF"/>
    <w:rsid w:val="003C3FE2"/>
    <w:rsid w:val="003C631B"/>
    <w:rsid w:val="003C789F"/>
    <w:rsid w:val="003D0EBB"/>
    <w:rsid w:val="003D4C8C"/>
    <w:rsid w:val="003D7593"/>
    <w:rsid w:val="003E087B"/>
    <w:rsid w:val="003F1538"/>
    <w:rsid w:val="003F2F25"/>
    <w:rsid w:val="003F5F71"/>
    <w:rsid w:val="003F642C"/>
    <w:rsid w:val="00400B41"/>
    <w:rsid w:val="004013E3"/>
    <w:rsid w:val="004022BC"/>
    <w:rsid w:val="00402E8F"/>
    <w:rsid w:val="00410F78"/>
    <w:rsid w:val="0041153B"/>
    <w:rsid w:val="00414BF9"/>
    <w:rsid w:val="00414DFF"/>
    <w:rsid w:val="00415C67"/>
    <w:rsid w:val="00417003"/>
    <w:rsid w:val="004200CF"/>
    <w:rsid w:val="00424EB8"/>
    <w:rsid w:val="00424EC1"/>
    <w:rsid w:val="004250CB"/>
    <w:rsid w:val="004258A5"/>
    <w:rsid w:val="00430760"/>
    <w:rsid w:val="00430786"/>
    <w:rsid w:val="004339B3"/>
    <w:rsid w:val="00434996"/>
    <w:rsid w:val="004370FC"/>
    <w:rsid w:val="0044010E"/>
    <w:rsid w:val="004412CD"/>
    <w:rsid w:val="00442ABC"/>
    <w:rsid w:val="00451168"/>
    <w:rsid w:val="004557F0"/>
    <w:rsid w:val="00460A14"/>
    <w:rsid w:val="00461092"/>
    <w:rsid w:val="004631A7"/>
    <w:rsid w:val="00465382"/>
    <w:rsid w:val="0046550B"/>
    <w:rsid w:val="004700CC"/>
    <w:rsid w:val="004728C9"/>
    <w:rsid w:val="0047438F"/>
    <w:rsid w:val="00476E04"/>
    <w:rsid w:val="004775D5"/>
    <w:rsid w:val="004800D5"/>
    <w:rsid w:val="00484705"/>
    <w:rsid w:val="00490E05"/>
    <w:rsid w:val="00492283"/>
    <w:rsid w:val="0049256A"/>
    <w:rsid w:val="00493556"/>
    <w:rsid w:val="00493658"/>
    <w:rsid w:val="004A1C86"/>
    <w:rsid w:val="004A29A4"/>
    <w:rsid w:val="004A72B7"/>
    <w:rsid w:val="004A7401"/>
    <w:rsid w:val="004B190B"/>
    <w:rsid w:val="004B278E"/>
    <w:rsid w:val="004B2B5C"/>
    <w:rsid w:val="004B2B8B"/>
    <w:rsid w:val="004B2F2D"/>
    <w:rsid w:val="004B4447"/>
    <w:rsid w:val="004B4E79"/>
    <w:rsid w:val="004B518B"/>
    <w:rsid w:val="004B73D7"/>
    <w:rsid w:val="004B7B6A"/>
    <w:rsid w:val="004C00E1"/>
    <w:rsid w:val="004D176D"/>
    <w:rsid w:val="004D60E6"/>
    <w:rsid w:val="004D6C73"/>
    <w:rsid w:val="004E2221"/>
    <w:rsid w:val="004E4363"/>
    <w:rsid w:val="004E5C31"/>
    <w:rsid w:val="004E6F89"/>
    <w:rsid w:val="004F281C"/>
    <w:rsid w:val="004F3227"/>
    <w:rsid w:val="004F54FA"/>
    <w:rsid w:val="004F79ED"/>
    <w:rsid w:val="0050179D"/>
    <w:rsid w:val="005072CA"/>
    <w:rsid w:val="00507C24"/>
    <w:rsid w:val="005105AB"/>
    <w:rsid w:val="00510997"/>
    <w:rsid w:val="00511C0B"/>
    <w:rsid w:val="0051212C"/>
    <w:rsid w:val="00514E3B"/>
    <w:rsid w:val="005150ED"/>
    <w:rsid w:val="0051691F"/>
    <w:rsid w:val="005240D3"/>
    <w:rsid w:val="00536114"/>
    <w:rsid w:val="005411EB"/>
    <w:rsid w:val="00542B77"/>
    <w:rsid w:val="00544426"/>
    <w:rsid w:val="005477B4"/>
    <w:rsid w:val="00551BA8"/>
    <w:rsid w:val="00551E42"/>
    <w:rsid w:val="00552CED"/>
    <w:rsid w:val="00555807"/>
    <w:rsid w:val="00561111"/>
    <w:rsid w:val="00564299"/>
    <w:rsid w:val="005652AF"/>
    <w:rsid w:val="005660CA"/>
    <w:rsid w:val="0056645C"/>
    <w:rsid w:val="0056741F"/>
    <w:rsid w:val="00570384"/>
    <w:rsid w:val="00571A60"/>
    <w:rsid w:val="00572597"/>
    <w:rsid w:val="00575909"/>
    <w:rsid w:val="0058344D"/>
    <w:rsid w:val="00587498"/>
    <w:rsid w:val="005879D6"/>
    <w:rsid w:val="00590E9F"/>
    <w:rsid w:val="00591696"/>
    <w:rsid w:val="00593338"/>
    <w:rsid w:val="0059364E"/>
    <w:rsid w:val="00596EA9"/>
    <w:rsid w:val="005A0A10"/>
    <w:rsid w:val="005A0D63"/>
    <w:rsid w:val="005A1628"/>
    <w:rsid w:val="005A24DC"/>
    <w:rsid w:val="005A2AC0"/>
    <w:rsid w:val="005A4FFD"/>
    <w:rsid w:val="005A64BC"/>
    <w:rsid w:val="005A7B69"/>
    <w:rsid w:val="005B11A3"/>
    <w:rsid w:val="005B1FD6"/>
    <w:rsid w:val="005B3EE3"/>
    <w:rsid w:val="005B4277"/>
    <w:rsid w:val="005B4BBE"/>
    <w:rsid w:val="005B5B06"/>
    <w:rsid w:val="005B5D1E"/>
    <w:rsid w:val="005B7279"/>
    <w:rsid w:val="005C0C29"/>
    <w:rsid w:val="005C33AD"/>
    <w:rsid w:val="005C5CCD"/>
    <w:rsid w:val="005D1CB4"/>
    <w:rsid w:val="005D6F57"/>
    <w:rsid w:val="005E11D2"/>
    <w:rsid w:val="005E30E5"/>
    <w:rsid w:val="005E3F85"/>
    <w:rsid w:val="005E46EB"/>
    <w:rsid w:val="005E6B74"/>
    <w:rsid w:val="00601C25"/>
    <w:rsid w:val="00604495"/>
    <w:rsid w:val="00604C4F"/>
    <w:rsid w:val="0060569C"/>
    <w:rsid w:val="00610E92"/>
    <w:rsid w:val="00613570"/>
    <w:rsid w:val="00613943"/>
    <w:rsid w:val="00615112"/>
    <w:rsid w:val="00617C7B"/>
    <w:rsid w:val="00617ECE"/>
    <w:rsid w:val="00620F3B"/>
    <w:rsid w:val="0062178C"/>
    <w:rsid w:val="00622069"/>
    <w:rsid w:val="006245E0"/>
    <w:rsid w:val="00624F64"/>
    <w:rsid w:val="00625CD1"/>
    <w:rsid w:val="006260C7"/>
    <w:rsid w:val="0063045A"/>
    <w:rsid w:val="00630DC5"/>
    <w:rsid w:val="00631E22"/>
    <w:rsid w:val="00631FF7"/>
    <w:rsid w:val="00633542"/>
    <w:rsid w:val="0063391C"/>
    <w:rsid w:val="00637430"/>
    <w:rsid w:val="00640F43"/>
    <w:rsid w:val="00642202"/>
    <w:rsid w:val="00643E1B"/>
    <w:rsid w:val="0064540F"/>
    <w:rsid w:val="006459B7"/>
    <w:rsid w:val="00651886"/>
    <w:rsid w:val="00652C1C"/>
    <w:rsid w:val="00652CEF"/>
    <w:rsid w:val="00654040"/>
    <w:rsid w:val="00654A6A"/>
    <w:rsid w:val="00656840"/>
    <w:rsid w:val="00660714"/>
    <w:rsid w:val="006618C2"/>
    <w:rsid w:val="006648E4"/>
    <w:rsid w:val="00665772"/>
    <w:rsid w:val="00667225"/>
    <w:rsid w:val="00670BE1"/>
    <w:rsid w:val="00671239"/>
    <w:rsid w:val="006725D6"/>
    <w:rsid w:val="00672A60"/>
    <w:rsid w:val="00673148"/>
    <w:rsid w:val="00673D18"/>
    <w:rsid w:val="0067454F"/>
    <w:rsid w:val="00674F72"/>
    <w:rsid w:val="0067540D"/>
    <w:rsid w:val="00675EEF"/>
    <w:rsid w:val="00676EA7"/>
    <w:rsid w:val="006804B8"/>
    <w:rsid w:val="00681884"/>
    <w:rsid w:val="00682881"/>
    <w:rsid w:val="00682B36"/>
    <w:rsid w:val="00685146"/>
    <w:rsid w:val="006861C2"/>
    <w:rsid w:val="006874CA"/>
    <w:rsid w:val="00690589"/>
    <w:rsid w:val="00691D39"/>
    <w:rsid w:val="006929B7"/>
    <w:rsid w:val="006944C3"/>
    <w:rsid w:val="006A1F5C"/>
    <w:rsid w:val="006A253F"/>
    <w:rsid w:val="006A344E"/>
    <w:rsid w:val="006A5F11"/>
    <w:rsid w:val="006A68CD"/>
    <w:rsid w:val="006B0D7E"/>
    <w:rsid w:val="006B28B3"/>
    <w:rsid w:val="006B3E86"/>
    <w:rsid w:val="006B4107"/>
    <w:rsid w:val="006B4CDF"/>
    <w:rsid w:val="006B5826"/>
    <w:rsid w:val="006B61DD"/>
    <w:rsid w:val="006B6384"/>
    <w:rsid w:val="006B6402"/>
    <w:rsid w:val="006C4385"/>
    <w:rsid w:val="006C57DE"/>
    <w:rsid w:val="006C5CAC"/>
    <w:rsid w:val="006D6776"/>
    <w:rsid w:val="006E078E"/>
    <w:rsid w:val="006E19EC"/>
    <w:rsid w:val="006E379C"/>
    <w:rsid w:val="006E5262"/>
    <w:rsid w:val="006E7899"/>
    <w:rsid w:val="006F05B8"/>
    <w:rsid w:val="006F19A2"/>
    <w:rsid w:val="006F337E"/>
    <w:rsid w:val="006F3E0B"/>
    <w:rsid w:val="006F550A"/>
    <w:rsid w:val="00705374"/>
    <w:rsid w:val="00706357"/>
    <w:rsid w:val="00712499"/>
    <w:rsid w:val="00714CDB"/>
    <w:rsid w:val="00715F34"/>
    <w:rsid w:val="0072583F"/>
    <w:rsid w:val="007260DF"/>
    <w:rsid w:val="00726464"/>
    <w:rsid w:val="007272E9"/>
    <w:rsid w:val="00727FEA"/>
    <w:rsid w:val="007313D6"/>
    <w:rsid w:val="007314DC"/>
    <w:rsid w:val="00731A66"/>
    <w:rsid w:val="00731B40"/>
    <w:rsid w:val="00733003"/>
    <w:rsid w:val="0073488F"/>
    <w:rsid w:val="00741F46"/>
    <w:rsid w:val="007437B7"/>
    <w:rsid w:val="0074485A"/>
    <w:rsid w:val="007507FA"/>
    <w:rsid w:val="00754907"/>
    <w:rsid w:val="00760CEB"/>
    <w:rsid w:val="00761982"/>
    <w:rsid w:val="00762562"/>
    <w:rsid w:val="00762D89"/>
    <w:rsid w:val="00763BAA"/>
    <w:rsid w:val="00765063"/>
    <w:rsid w:val="00771BD6"/>
    <w:rsid w:val="00772298"/>
    <w:rsid w:val="00774F60"/>
    <w:rsid w:val="00775958"/>
    <w:rsid w:val="00776025"/>
    <w:rsid w:val="00776761"/>
    <w:rsid w:val="007834DB"/>
    <w:rsid w:val="0078518E"/>
    <w:rsid w:val="00785863"/>
    <w:rsid w:val="00785A15"/>
    <w:rsid w:val="007861B3"/>
    <w:rsid w:val="007878EF"/>
    <w:rsid w:val="00791C4D"/>
    <w:rsid w:val="00792E7C"/>
    <w:rsid w:val="00795062"/>
    <w:rsid w:val="007957F4"/>
    <w:rsid w:val="007A1123"/>
    <w:rsid w:val="007B403A"/>
    <w:rsid w:val="007B5B77"/>
    <w:rsid w:val="007B6DFF"/>
    <w:rsid w:val="007B73DC"/>
    <w:rsid w:val="007B7967"/>
    <w:rsid w:val="007B7F13"/>
    <w:rsid w:val="007C1FB5"/>
    <w:rsid w:val="007C4220"/>
    <w:rsid w:val="007D11A7"/>
    <w:rsid w:val="007D161F"/>
    <w:rsid w:val="007D4983"/>
    <w:rsid w:val="007D49E4"/>
    <w:rsid w:val="007D611E"/>
    <w:rsid w:val="007D61E1"/>
    <w:rsid w:val="007E20F9"/>
    <w:rsid w:val="007E2329"/>
    <w:rsid w:val="007E3E68"/>
    <w:rsid w:val="007E50E2"/>
    <w:rsid w:val="007E523C"/>
    <w:rsid w:val="007E6947"/>
    <w:rsid w:val="007E6B55"/>
    <w:rsid w:val="007E76F2"/>
    <w:rsid w:val="007E7C53"/>
    <w:rsid w:val="007F1115"/>
    <w:rsid w:val="007F25BC"/>
    <w:rsid w:val="007F3BC7"/>
    <w:rsid w:val="007F41AD"/>
    <w:rsid w:val="007F44BE"/>
    <w:rsid w:val="007F4FAD"/>
    <w:rsid w:val="00802E0E"/>
    <w:rsid w:val="00812285"/>
    <w:rsid w:val="00812696"/>
    <w:rsid w:val="008128AF"/>
    <w:rsid w:val="00812EBE"/>
    <w:rsid w:val="0081446D"/>
    <w:rsid w:val="008172E5"/>
    <w:rsid w:val="00817704"/>
    <w:rsid w:val="0082037C"/>
    <w:rsid w:val="00820408"/>
    <w:rsid w:val="00821F16"/>
    <w:rsid w:val="00822A04"/>
    <w:rsid w:val="00823B67"/>
    <w:rsid w:val="0082688B"/>
    <w:rsid w:val="00826D5D"/>
    <w:rsid w:val="0083324B"/>
    <w:rsid w:val="00833768"/>
    <w:rsid w:val="00833E83"/>
    <w:rsid w:val="008358E6"/>
    <w:rsid w:val="00835AAD"/>
    <w:rsid w:val="008363DC"/>
    <w:rsid w:val="00837D87"/>
    <w:rsid w:val="008415E0"/>
    <w:rsid w:val="0084540D"/>
    <w:rsid w:val="00845E1A"/>
    <w:rsid w:val="00846122"/>
    <w:rsid w:val="00852125"/>
    <w:rsid w:val="008537E0"/>
    <w:rsid w:val="00855B91"/>
    <w:rsid w:val="00857038"/>
    <w:rsid w:val="00857771"/>
    <w:rsid w:val="008605A8"/>
    <w:rsid w:val="00860628"/>
    <w:rsid w:val="00863EE2"/>
    <w:rsid w:val="008641ED"/>
    <w:rsid w:val="008648CD"/>
    <w:rsid w:val="00867053"/>
    <w:rsid w:val="008721A3"/>
    <w:rsid w:val="00874E4E"/>
    <w:rsid w:val="00876A12"/>
    <w:rsid w:val="00876EF7"/>
    <w:rsid w:val="00882D2F"/>
    <w:rsid w:val="00883E77"/>
    <w:rsid w:val="0088471B"/>
    <w:rsid w:val="00885713"/>
    <w:rsid w:val="00891565"/>
    <w:rsid w:val="00893477"/>
    <w:rsid w:val="00894542"/>
    <w:rsid w:val="0089462D"/>
    <w:rsid w:val="00895306"/>
    <w:rsid w:val="008978E9"/>
    <w:rsid w:val="008A39BF"/>
    <w:rsid w:val="008A4DF5"/>
    <w:rsid w:val="008A6417"/>
    <w:rsid w:val="008B226D"/>
    <w:rsid w:val="008B7DAE"/>
    <w:rsid w:val="008C1496"/>
    <w:rsid w:val="008C5306"/>
    <w:rsid w:val="008C6BB8"/>
    <w:rsid w:val="008C7FE2"/>
    <w:rsid w:val="008D034E"/>
    <w:rsid w:val="008D225C"/>
    <w:rsid w:val="008D277A"/>
    <w:rsid w:val="008D7608"/>
    <w:rsid w:val="008E05BB"/>
    <w:rsid w:val="008E2320"/>
    <w:rsid w:val="008E4595"/>
    <w:rsid w:val="008E7328"/>
    <w:rsid w:val="008F0A6D"/>
    <w:rsid w:val="008F1945"/>
    <w:rsid w:val="008F1BCC"/>
    <w:rsid w:val="008F226F"/>
    <w:rsid w:val="008F2271"/>
    <w:rsid w:val="008F42FA"/>
    <w:rsid w:val="008F59A2"/>
    <w:rsid w:val="00900344"/>
    <w:rsid w:val="009025C3"/>
    <w:rsid w:val="009038DB"/>
    <w:rsid w:val="00907145"/>
    <w:rsid w:val="00910491"/>
    <w:rsid w:val="00911148"/>
    <w:rsid w:val="00912A70"/>
    <w:rsid w:val="009154EC"/>
    <w:rsid w:val="00915A53"/>
    <w:rsid w:val="009169CF"/>
    <w:rsid w:val="00917E96"/>
    <w:rsid w:val="00920A37"/>
    <w:rsid w:val="0092392F"/>
    <w:rsid w:val="00925434"/>
    <w:rsid w:val="00927670"/>
    <w:rsid w:val="00930D65"/>
    <w:rsid w:val="0093114E"/>
    <w:rsid w:val="00932D94"/>
    <w:rsid w:val="00933322"/>
    <w:rsid w:val="0093362E"/>
    <w:rsid w:val="009337E6"/>
    <w:rsid w:val="009372B3"/>
    <w:rsid w:val="00937D1C"/>
    <w:rsid w:val="0094045C"/>
    <w:rsid w:val="00943E79"/>
    <w:rsid w:val="009447E2"/>
    <w:rsid w:val="00952AB2"/>
    <w:rsid w:val="00956C11"/>
    <w:rsid w:val="00956C2C"/>
    <w:rsid w:val="009606B6"/>
    <w:rsid w:val="00961A49"/>
    <w:rsid w:val="00963D23"/>
    <w:rsid w:val="00964CEF"/>
    <w:rsid w:val="00966075"/>
    <w:rsid w:val="0097130B"/>
    <w:rsid w:val="009718BE"/>
    <w:rsid w:val="00971F68"/>
    <w:rsid w:val="00972B6B"/>
    <w:rsid w:val="009751A9"/>
    <w:rsid w:val="00977A90"/>
    <w:rsid w:val="00980663"/>
    <w:rsid w:val="009819EB"/>
    <w:rsid w:val="00982F45"/>
    <w:rsid w:val="00987490"/>
    <w:rsid w:val="00987863"/>
    <w:rsid w:val="00997B3B"/>
    <w:rsid w:val="009A0CAE"/>
    <w:rsid w:val="009A1088"/>
    <w:rsid w:val="009A1BC8"/>
    <w:rsid w:val="009A33DA"/>
    <w:rsid w:val="009A4AC0"/>
    <w:rsid w:val="009A5304"/>
    <w:rsid w:val="009A61D5"/>
    <w:rsid w:val="009B058E"/>
    <w:rsid w:val="009B1604"/>
    <w:rsid w:val="009C1608"/>
    <w:rsid w:val="009C7715"/>
    <w:rsid w:val="009D262E"/>
    <w:rsid w:val="009D2E75"/>
    <w:rsid w:val="009D317E"/>
    <w:rsid w:val="009D4D8C"/>
    <w:rsid w:val="009D6F8B"/>
    <w:rsid w:val="009E05D1"/>
    <w:rsid w:val="009E1253"/>
    <w:rsid w:val="009E1755"/>
    <w:rsid w:val="009E590B"/>
    <w:rsid w:val="009E74B6"/>
    <w:rsid w:val="009F19DB"/>
    <w:rsid w:val="009F231F"/>
    <w:rsid w:val="009F37DE"/>
    <w:rsid w:val="009F4B93"/>
    <w:rsid w:val="009F5683"/>
    <w:rsid w:val="00A00087"/>
    <w:rsid w:val="00A06E02"/>
    <w:rsid w:val="00A07351"/>
    <w:rsid w:val="00A1190E"/>
    <w:rsid w:val="00A11D11"/>
    <w:rsid w:val="00A1241E"/>
    <w:rsid w:val="00A12FAE"/>
    <w:rsid w:val="00A15614"/>
    <w:rsid w:val="00A1633C"/>
    <w:rsid w:val="00A26628"/>
    <w:rsid w:val="00A276EC"/>
    <w:rsid w:val="00A30E9B"/>
    <w:rsid w:val="00A31102"/>
    <w:rsid w:val="00A315B7"/>
    <w:rsid w:val="00A31B63"/>
    <w:rsid w:val="00A34066"/>
    <w:rsid w:val="00A369AE"/>
    <w:rsid w:val="00A369E7"/>
    <w:rsid w:val="00A3732E"/>
    <w:rsid w:val="00A3735E"/>
    <w:rsid w:val="00A40512"/>
    <w:rsid w:val="00A41281"/>
    <w:rsid w:val="00A416CD"/>
    <w:rsid w:val="00A41703"/>
    <w:rsid w:val="00A428CE"/>
    <w:rsid w:val="00A44634"/>
    <w:rsid w:val="00A46AAE"/>
    <w:rsid w:val="00A55978"/>
    <w:rsid w:val="00A56B74"/>
    <w:rsid w:val="00A64553"/>
    <w:rsid w:val="00A6518C"/>
    <w:rsid w:val="00A652E1"/>
    <w:rsid w:val="00A66BCB"/>
    <w:rsid w:val="00A6712A"/>
    <w:rsid w:val="00A70F6C"/>
    <w:rsid w:val="00A725B4"/>
    <w:rsid w:val="00A72835"/>
    <w:rsid w:val="00A73191"/>
    <w:rsid w:val="00A73472"/>
    <w:rsid w:val="00A76E58"/>
    <w:rsid w:val="00A77AC7"/>
    <w:rsid w:val="00A82791"/>
    <w:rsid w:val="00A8368C"/>
    <w:rsid w:val="00A9031C"/>
    <w:rsid w:val="00A91612"/>
    <w:rsid w:val="00A92294"/>
    <w:rsid w:val="00A942F3"/>
    <w:rsid w:val="00A95C3B"/>
    <w:rsid w:val="00A96D71"/>
    <w:rsid w:val="00AA3035"/>
    <w:rsid w:val="00AA54F8"/>
    <w:rsid w:val="00AA6AC9"/>
    <w:rsid w:val="00AB00BC"/>
    <w:rsid w:val="00AB36CA"/>
    <w:rsid w:val="00AB3B3D"/>
    <w:rsid w:val="00AB4E18"/>
    <w:rsid w:val="00AB584A"/>
    <w:rsid w:val="00AC45CD"/>
    <w:rsid w:val="00AC55DE"/>
    <w:rsid w:val="00AC5760"/>
    <w:rsid w:val="00AC7291"/>
    <w:rsid w:val="00AD059C"/>
    <w:rsid w:val="00AD07D0"/>
    <w:rsid w:val="00AD241B"/>
    <w:rsid w:val="00AE1506"/>
    <w:rsid w:val="00AE3337"/>
    <w:rsid w:val="00AE390E"/>
    <w:rsid w:val="00AF0664"/>
    <w:rsid w:val="00AF5BE0"/>
    <w:rsid w:val="00AF751C"/>
    <w:rsid w:val="00B01B5B"/>
    <w:rsid w:val="00B0252E"/>
    <w:rsid w:val="00B02612"/>
    <w:rsid w:val="00B03FFD"/>
    <w:rsid w:val="00B04367"/>
    <w:rsid w:val="00B07857"/>
    <w:rsid w:val="00B10298"/>
    <w:rsid w:val="00B11AE1"/>
    <w:rsid w:val="00B122AD"/>
    <w:rsid w:val="00B17A39"/>
    <w:rsid w:val="00B2502F"/>
    <w:rsid w:val="00B260E6"/>
    <w:rsid w:val="00B30019"/>
    <w:rsid w:val="00B3185C"/>
    <w:rsid w:val="00B3293E"/>
    <w:rsid w:val="00B332E7"/>
    <w:rsid w:val="00B34610"/>
    <w:rsid w:val="00B34C2D"/>
    <w:rsid w:val="00B359DB"/>
    <w:rsid w:val="00B41DEC"/>
    <w:rsid w:val="00B41F3B"/>
    <w:rsid w:val="00B4311D"/>
    <w:rsid w:val="00B51194"/>
    <w:rsid w:val="00B512D2"/>
    <w:rsid w:val="00B51D8A"/>
    <w:rsid w:val="00B52B49"/>
    <w:rsid w:val="00B53DEB"/>
    <w:rsid w:val="00B54F19"/>
    <w:rsid w:val="00B579E5"/>
    <w:rsid w:val="00B619DE"/>
    <w:rsid w:val="00B61B07"/>
    <w:rsid w:val="00B62CBD"/>
    <w:rsid w:val="00B6582D"/>
    <w:rsid w:val="00B66541"/>
    <w:rsid w:val="00B67005"/>
    <w:rsid w:val="00B67BF7"/>
    <w:rsid w:val="00B7078C"/>
    <w:rsid w:val="00B7159D"/>
    <w:rsid w:val="00B745BE"/>
    <w:rsid w:val="00B74C2E"/>
    <w:rsid w:val="00B775DD"/>
    <w:rsid w:val="00B8112E"/>
    <w:rsid w:val="00B82CCB"/>
    <w:rsid w:val="00B86B56"/>
    <w:rsid w:val="00B86FB0"/>
    <w:rsid w:val="00B9022C"/>
    <w:rsid w:val="00B91F5C"/>
    <w:rsid w:val="00B928FF"/>
    <w:rsid w:val="00BA79B2"/>
    <w:rsid w:val="00BB045C"/>
    <w:rsid w:val="00BB10CE"/>
    <w:rsid w:val="00BB22A2"/>
    <w:rsid w:val="00BB29B0"/>
    <w:rsid w:val="00BB3A2B"/>
    <w:rsid w:val="00BC0B9E"/>
    <w:rsid w:val="00BC4DB6"/>
    <w:rsid w:val="00BC5704"/>
    <w:rsid w:val="00BC7D30"/>
    <w:rsid w:val="00BD0D6C"/>
    <w:rsid w:val="00BD4963"/>
    <w:rsid w:val="00BD4CEA"/>
    <w:rsid w:val="00BD6C9B"/>
    <w:rsid w:val="00BD7958"/>
    <w:rsid w:val="00BE4B74"/>
    <w:rsid w:val="00BE67A4"/>
    <w:rsid w:val="00BE6E72"/>
    <w:rsid w:val="00BF1000"/>
    <w:rsid w:val="00BF17AF"/>
    <w:rsid w:val="00BF39F3"/>
    <w:rsid w:val="00BF44B0"/>
    <w:rsid w:val="00BF5514"/>
    <w:rsid w:val="00C04A2C"/>
    <w:rsid w:val="00C06DD1"/>
    <w:rsid w:val="00C07E46"/>
    <w:rsid w:val="00C11C1F"/>
    <w:rsid w:val="00C13A97"/>
    <w:rsid w:val="00C225D1"/>
    <w:rsid w:val="00C2279A"/>
    <w:rsid w:val="00C2314A"/>
    <w:rsid w:val="00C27505"/>
    <w:rsid w:val="00C27944"/>
    <w:rsid w:val="00C27D42"/>
    <w:rsid w:val="00C36916"/>
    <w:rsid w:val="00C37319"/>
    <w:rsid w:val="00C4100C"/>
    <w:rsid w:val="00C4370E"/>
    <w:rsid w:val="00C441F2"/>
    <w:rsid w:val="00C447F3"/>
    <w:rsid w:val="00C449BA"/>
    <w:rsid w:val="00C45958"/>
    <w:rsid w:val="00C461EC"/>
    <w:rsid w:val="00C46C6A"/>
    <w:rsid w:val="00C46CB2"/>
    <w:rsid w:val="00C510A9"/>
    <w:rsid w:val="00C53B71"/>
    <w:rsid w:val="00C53C94"/>
    <w:rsid w:val="00C5424B"/>
    <w:rsid w:val="00C57BCE"/>
    <w:rsid w:val="00C57DAF"/>
    <w:rsid w:val="00C618DD"/>
    <w:rsid w:val="00C63201"/>
    <w:rsid w:val="00C6353C"/>
    <w:rsid w:val="00C66F91"/>
    <w:rsid w:val="00C700D6"/>
    <w:rsid w:val="00C76126"/>
    <w:rsid w:val="00C77B15"/>
    <w:rsid w:val="00C77B59"/>
    <w:rsid w:val="00C80B7B"/>
    <w:rsid w:val="00C82D4A"/>
    <w:rsid w:val="00C858D0"/>
    <w:rsid w:val="00C8695B"/>
    <w:rsid w:val="00C87940"/>
    <w:rsid w:val="00C92189"/>
    <w:rsid w:val="00C933BE"/>
    <w:rsid w:val="00C934DE"/>
    <w:rsid w:val="00C936FC"/>
    <w:rsid w:val="00C9651B"/>
    <w:rsid w:val="00C9780D"/>
    <w:rsid w:val="00C979D8"/>
    <w:rsid w:val="00C97EC8"/>
    <w:rsid w:val="00CA00B0"/>
    <w:rsid w:val="00CA303B"/>
    <w:rsid w:val="00CA3F33"/>
    <w:rsid w:val="00CA5B2D"/>
    <w:rsid w:val="00CA6C13"/>
    <w:rsid w:val="00CB0A04"/>
    <w:rsid w:val="00CB39A2"/>
    <w:rsid w:val="00CB3C0C"/>
    <w:rsid w:val="00CB3ED5"/>
    <w:rsid w:val="00CB6136"/>
    <w:rsid w:val="00CB788E"/>
    <w:rsid w:val="00CC154C"/>
    <w:rsid w:val="00CC24B0"/>
    <w:rsid w:val="00CC5912"/>
    <w:rsid w:val="00CD08A3"/>
    <w:rsid w:val="00CD111E"/>
    <w:rsid w:val="00CD6939"/>
    <w:rsid w:val="00CD7D7A"/>
    <w:rsid w:val="00CE013A"/>
    <w:rsid w:val="00CE21CD"/>
    <w:rsid w:val="00CE46A6"/>
    <w:rsid w:val="00CE5454"/>
    <w:rsid w:val="00CE5679"/>
    <w:rsid w:val="00CE6AE6"/>
    <w:rsid w:val="00CE78D4"/>
    <w:rsid w:val="00CF0044"/>
    <w:rsid w:val="00CF0DF8"/>
    <w:rsid w:val="00CF11EB"/>
    <w:rsid w:val="00CF21A8"/>
    <w:rsid w:val="00CF278B"/>
    <w:rsid w:val="00CF288D"/>
    <w:rsid w:val="00CF6CC3"/>
    <w:rsid w:val="00CF7710"/>
    <w:rsid w:val="00CF7BDA"/>
    <w:rsid w:val="00D059DE"/>
    <w:rsid w:val="00D062ED"/>
    <w:rsid w:val="00D06F61"/>
    <w:rsid w:val="00D07654"/>
    <w:rsid w:val="00D121F0"/>
    <w:rsid w:val="00D15209"/>
    <w:rsid w:val="00D20DD2"/>
    <w:rsid w:val="00D20DF8"/>
    <w:rsid w:val="00D215E1"/>
    <w:rsid w:val="00D22B9D"/>
    <w:rsid w:val="00D25AA0"/>
    <w:rsid w:val="00D30751"/>
    <w:rsid w:val="00D327B5"/>
    <w:rsid w:val="00D32F9F"/>
    <w:rsid w:val="00D358FE"/>
    <w:rsid w:val="00D40C4C"/>
    <w:rsid w:val="00D41AF5"/>
    <w:rsid w:val="00D47249"/>
    <w:rsid w:val="00D4780E"/>
    <w:rsid w:val="00D503C2"/>
    <w:rsid w:val="00D51223"/>
    <w:rsid w:val="00D51C4D"/>
    <w:rsid w:val="00D54D71"/>
    <w:rsid w:val="00D61529"/>
    <w:rsid w:val="00D636AB"/>
    <w:rsid w:val="00D63E29"/>
    <w:rsid w:val="00D63EE7"/>
    <w:rsid w:val="00D66444"/>
    <w:rsid w:val="00D70AAD"/>
    <w:rsid w:val="00D71590"/>
    <w:rsid w:val="00D730B2"/>
    <w:rsid w:val="00D74628"/>
    <w:rsid w:val="00D75A68"/>
    <w:rsid w:val="00D7700A"/>
    <w:rsid w:val="00D80CAD"/>
    <w:rsid w:val="00D80EA4"/>
    <w:rsid w:val="00D82EEC"/>
    <w:rsid w:val="00D9084B"/>
    <w:rsid w:val="00D91585"/>
    <w:rsid w:val="00D9274E"/>
    <w:rsid w:val="00D956CB"/>
    <w:rsid w:val="00D96944"/>
    <w:rsid w:val="00D96EB0"/>
    <w:rsid w:val="00D97586"/>
    <w:rsid w:val="00DA25E2"/>
    <w:rsid w:val="00DA53AD"/>
    <w:rsid w:val="00DA6689"/>
    <w:rsid w:val="00DA7C29"/>
    <w:rsid w:val="00DB0D7D"/>
    <w:rsid w:val="00DB26FC"/>
    <w:rsid w:val="00DB288E"/>
    <w:rsid w:val="00DB3752"/>
    <w:rsid w:val="00DB388C"/>
    <w:rsid w:val="00DB62B0"/>
    <w:rsid w:val="00DB6576"/>
    <w:rsid w:val="00DC242D"/>
    <w:rsid w:val="00DC3DDD"/>
    <w:rsid w:val="00DC3FE0"/>
    <w:rsid w:val="00DC5B3D"/>
    <w:rsid w:val="00DC6371"/>
    <w:rsid w:val="00DC6D7E"/>
    <w:rsid w:val="00DD25C8"/>
    <w:rsid w:val="00DD2A0B"/>
    <w:rsid w:val="00DD5CCF"/>
    <w:rsid w:val="00DD6C2F"/>
    <w:rsid w:val="00DE2437"/>
    <w:rsid w:val="00DE31E2"/>
    <w:rsid w:val="00DE328F"/>
    <w:rsid w:val="00DE5D4C"/>
    <w:rsid w:val="00DE62B6"/>
    <w:rsid w:val="00DF7B1F"/>
    <w:rsid w:val="00E001F4"/>
    <w:rsid w:val="00E01991"/>
    <w:rsid w:val="00E02AD7"/>
    <w:rsid w:val="00E0640C"/>
    <w:rsid w:val="00E06AB5"/>
    <w:rsid w:val="00E07F9D"/>
    <w:rsid w:val="00E1218A"/>
    <w:rsid w:val="00E16929"/>
    <w:rsid w:val="00E21031"/>
    <w:rsid w:val="00E214D8"/>
    <w:rsid w:val="00E2528C"/>
    <w:rsid w:val="00E262F2"/>
    <w:rsid w:val="00E33AB5"/>
    <w:rsid w:val="00E33BAB"/>
    <w:rsid w:val="00E34092"/>
    <w:rsid w:val="00E35D73"/>
    <w:rsid w:val="00E37686"/>
    <w:rsid w:val="00E42439"/>
    <w:rsid w:val="00E44FB4"/>
    <w:rsid w:val="00E4586F"/>
    <w:rsid w:val="00E45A72"/>
    <w:rsid w:val="00E4631D"/>
    <w:rsid w:val="00E463D7"/>
    <w:rsid w:val="00E464D9"/>
    <w:rsid w:val="00E46C07"/>
    <w:rsid w:val="00E52740"/>
    <w:rsid w:val="00E57B17"/>
    <w:rsid w:val="00E60089"/>
    <w:rsid w:val="00E604E9"/>
    <w:rsid w:val="00E7296A"/>
    <w:rsid w:val="00E74D5E"/>
    <w:rsid w:val="00E75787"/>
    <w:rsid w:val="00E75968"/>
    <w:rsid w:val="00E75AFB"/>
    <w:rsid w:val="00E77E18"/>
    <w:rsid w:val="00E830AD"/>
    <w:rsid w:val="00E86A3A"/>
    <w:rsid w:val="00E87F0E"/>
    <w:rsid w:val="00E92EAC"/>
    <w:rsid w:val="00E94284"/>
    <w:rsid w:val="00E94B71"/>
    <w:rsid w:val="00EA7C31"/>
    <w:rsid w:val="00EB57AA"/>
    <w:rsid w:val="00EB77C8"/>
    <w:rsid w:val="00EB7B73"/>
    <w:rsid w:val="00EC592C"/>
    <w:rsid w:val="00EC5CE9"/>
    <w:rsid w:val="00EC7E12"/>
    <w:rsid w:val="00ED1727"/>
    <w:rsid w:val="00ED1A0F"/>
    <w:rsid w:val="00ED1DA3"/>
    <w:rsid w:val="00ED27AB"/>
    <w:rsid w:val="00ED4326"/>
    <w:rsid w:val="00ED6E36"/>
    <w:rsid w:val="00ED7E55"/>
    <w:rsid w:val="00EE067F"/>
    <w:rsid w:val="00EE0FF5"/>
    <w:rsid w:val="00EE107B"/>
    <w:rsid w:val="00EE229C"/>
    <w:rsid w:val="00EE2FAB"/>
    <w:rsid w:val="00EE56C3"/>
    <w:rsid w:val="00EE6C91"/>
    <w:rsid w:val="00EF1DAF"/>
    <w:rsid w:val="00EF3CD5"/>
    <w:rsid w:val="00F0126A"/>
    <w:rsid w:val="00F033FF"/>
    <w:rsid w:val="00F04292"/>
    <w:rsid w:val="00F0531F"/>
    <w:rsid w:val="00F07976"/>
    <w:rsid w:val="00F131F1"/>
    <w:rsid w:val="00F136EB"/>
    <w:rsid w:val="00F164D7"/>
    <w:rsid w:val="00F17E70"/>
    <w:rsid w:val="00F17EA7"/>
    <w:rsid w:val="00F205AE"/>
    <w:rsid w:val="00F20EAD"/>
    <w:rsid w:val="00F224AE"/>
    <w:rsid w:val="00F231A4"/>
    <w:rsid w:val="00F23FC1"/>
    <w:rsid w:val="00F2766F"/>
    <w:rsid w:val="00F33056"/>
    <w:rsid w:val="00F33236"/>
    <w:rsid w:val="00F3360F"/>
    <w:rsid w:val="00F35F5E"/>
    <w:rsid w:val="00F37694"/>
    <w:rsid w:val="00F3771A"/>
    <w:rsid w:val="00F42C03"/>
    <w:rsid w:val="00F4397E"/>
    <w:rsid w:val="00F47CE9"/>
    <w:rsid w:val="00F50930"/>
    <w:rsid w:val="00F51662"/>
    <w:rsid w:val="00F51F19"/>
    <w:rsid w:val="00F51FDB"/>
    <w:rsid w:val="00F525C3"/>
    <w:rsid w:val="00F54EED"/>
    <w:rsid w:val="00F56232"/>
    <w:rsid w:val="00F6029A"/>
    <w:rsid w:val="00F63C3C"/>
    <w:rsid w:val="00F65C50"/>
    <w:rsid w:val="00F66840"/>
    <w:rsid w:val="00F73C9B"/>
    <w:rsid w:val="00F73D97"/>
    <w:rsid w:val="00F75F73"/>
    <w:rsid w:val="00F76BA0"/>
    <w:rsid w:val="00F76C1B"/>
    <w:rsid w:val="00F77C25"/>
    <w:rsid w:val="00F80020"/>
    <w:rsid w:val="00F80C50"/>
    <w:rsid w:val="00F82CE1"/>
    <w:rsid w:val="00F83E32"/>
    <w:rsid w:val="00F84656"/>
    <w:rsid w:val="00F84B8B"/>
    <w:rsid w:val="00F87788"/>
    <w:rsid w:val="00F9309A"/>
    <w:rsid w:val="00F9318E"/>
    <w:rsid w:val="00FA2640"/>
    <w:rsid w:val="00FA32FD"/>
    <w:rsid w:val="00FA35A6"/>
    <w:rsid w:val="00FA4D63"/>
    <w:rsid w:val="00FA5379"/>
    <w:rsid w:val="00FA6AFF"/>
    <w:rsid w:val="00FB1462"/>
    <w:rsid w:val="00FB2B71"/>
    <w:rsid w:val="00FB2D10"/>
    <w:rsid w:val="00FB2D85"/>
    <w:rsid w:val="00FB36DF"/>
    <w:rsid w:val="00FB5809"/>
    <w:rsid w:val="00FB58ED"/>
    <w:rsid w:val="00FC2057"/>
    <w:rsid w:val="00FC4A15"/>
    <w:rsid w:val="00FC5ACB"/>
    <w:rsid w:val="00FC5B63"/>
    <w:rsid w:val="00FC73B8"/>
    <w:rsid w:val="00FC7586"/>
    <w:rsid w:val="00FD1157"/>
    <w:rsid w:val="00FD2A5E"/>
    <w:rsid w:val="00FD763E"/>
    <w:rsid w:val="00FE03F3"/>
    <w:rsid w:val="00FE4209"/>
    <w:rsid w:val="00FE60ED"/>
    <w:rsid w:val="00FF10D3"/>
    <w:rsid w:val="00FF1C5F"/>
    <w:rsid w:val="00FF1F98"/>
    <w:rsid w:val="00FF703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465D7"/>
  <w15:docId w15:val="{9C9FFB4B-2975-4720-A93F-86CA2FB1E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0298"/>
  </w:style>
  <w:style w:type="paragraph" w:styleId="Ttulo1">
    <w:name w:val="heading 1"/>
    <w:basedOn w:val="Normal"/>
    <w:next w:val="Normal"/>
    <w:link w:val="Ttulo1Car"/>
    <w:uiPriority w:val="9"/>
    <w:qFormat/>
    <w:rsid w:val="001C6447"/>
    <w:pPr>
      <w:keepNext/>
      <w:keepLines/>
      <w:spacing w:before="240" w:after="0"/>
      <w:outlineLvl w:val="0"/>
    </w:pPr>
    <w:rPr>
      <w:rFonts w:ascii="Arial" w:eastAsiaTheme="majorEastAsia" w:hAnsi="Arial" w:cstheme="majorBidi"/>
      <w:b/>
      <w:color w:val="365F91" w:themeColor="accent1" w:themeShade="BF"/>
      <w:sz w:val="28"/>
      <w:szCs w:val="32"/>
    </w:rPr>
  </w:style>
  <w:style w:type="paragraph" w:styleId="Ttulo2">
    <w:name w:val="heading 2"/>
    <w:basedOn w:val="Ttulo1"/>
    <w:next w:val="Normal"/>
    <w:link w:val="Ttulo2Car"/>
    <w:autoRedefine/>
    <w:uiPriority w:val="9"/>
    <w:unhideWhenUsed/>
    <w:qFormat/>
    <w:rsid w:val="00C449BA"/>
    <w:pPr>
      <w:widowControl w:val="0"/>
      <w:numPr>
        <w:ilvl w:val="1"/>
        <w:numId w:val="31"/>
      </w:numPr>
      <w:autoSpaceDE w:val="0"/>
      <w:autoSpaceDN w:val="0"/>
      <w:spacing w:before="40" w:line="360" w:lineRule="auto"/>
      <w:jc w:val="both"/>
      <w:outlineLvl w:val="1"/>
    </w:pPr>
    <w:rPr>
      <w:rFonts w:eastAsia="Times New Roman" w:cs="Arial"/>
      <w:b w:val="0"/>
      <w:bCs/>
      <w:color w:val="auto"/>
      <w:sz w:val="22"/>
      <w:szCs w:val="22"/>
      <w:u w:val="single" w:color="000000"/>
    </w:rPr>
  </w:style>
  <w:style w:type="paragraph" w:styleId="Ttulo3">
    <w:name w:val="heading 3"/>
    <w:basedOn w:val="Normal"/>
    <w:next w:val="Normal"/>
    <w:link w:val="Ttulo3Car"/>
    <w:uiPriority w:val="9"/>
    <w:unhideWhenUsed/>
    <w:qFormat/>
    <w:rsid w:val="001C644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2533E"/>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2A186A"/>
    <w:pPr>
      <w:numPr>
        <w:numId w:val="2"/>
      </w:numPr>
      <w:spacing w:after="160" w:line="360" w:lineRule="auto"/>
      <w:ind w:left="644"/>
      <w:contextualSpacing/>
      <w:jc w:val="both"/>
    </w:pPr>
    <w:rPr>
      <w:rFonts w:ascii="Arial" w:hAnsi="Arial" w:cs="Arial"/>
      <w:sz w:val="24"/>
      <w:szCs w:val="24"/>
      <w:lang w:val="es-CL"/>
    </w:rPr>
  </w:style>
  <w:style w:type="paragraph" w:styleId="Textonotapie">
    <w:name w:val="footnote text"/>
    <w:basedOn w:val="Normal"/>
    <w:link w:val="TextonotapieCar"/>
    <w:uiPriority w:val="99"/>
    <w:semiHidden/>
    <w:unhideWhenUsed/>
    <w:rsid w:val="0002533E"/>
    <w:pPr>
      <w:spacing w:after="0" w:line="240" w:lineRule="auto"/>
      <w:ind w:left="720"/>
    </w:pPr>
    <w:rPr>
      <w:sz w:val="20"/>
      <w:szCs w:val="20"/>
      <w:lang w:val="es-CL"/>
    </w:rPr>
  </w:style>
  <w:style w:type="character" w:customStyle="1" w:styleId="TextonotapieCar">
    <w:name w:val="Texto nota pie Car"/>
    <w:basedOn w:val="Fuentedeprrafopredeter"/>
    <w:link w:val="Textonotapie"/>
    <w:uiPriority w:val="99"/>
    <w:semiHidden/>
    <w:rsid w:val="0002533E"/>
    <w:rPr>
      <w:sz w:val="20"/>
      <w:szCs w:val="20"/>
      <w:lang w:val="es-CL"/>
    </w:rPr>
  </w:style>
  <w:style w:type="character" w:styleId="Refdenotaalpie">
    <w:name w:val="footnote reference"/>
    <w:basedOn w:val="Fuentedeprrafopredeter"/>
    <w:uiPriority w:val="99"/>
    <w:unhideWhenUsed/>
    <w:rsid w:val="0002533E"/>
    <w:rPr>
      <w:vertAlign w:val="superscript"/>
    </w:rPr>
  </w:style>
  <w:style w:type="character" w:styleId="Refdecomentario">
    <w:name w:val="annotation reference"/>
    <w:basedOn w:val="Fuentedeprrafopredeter"/>
    <w:uiPriority w:val="99"/>
    <w:semiHidden/>
    <w:unhideWhenUsed/>
    <w:rsid w:val="001C44FB"/>
    <w:rPr>
      <w:sz w:val="16"/>
      <w:szCs w:val="16"/>
    </w:rPr>
  </w:style>
  <w:style w:type="paragraph" w:styleId="Textocomentario">
    <w:name w:val="annotation text"/>
    <w:basedOn w:val="Normal"/>
    <w:link w:val="TextocomentarioCar"/>
    <w:uiPriority w:val="99"/>
    <w:unhideWhenUsed/>
    <w:rsid w:val="001C44FB"/>
    <w:pPr>
      <w:spacing w:line="240" w:lineRule="auto"/>
    </w:pPr>
    <w:rPr>
      <w:sz w:val="20"/>
      <w:szCs w:val="20"/>
    </w:rPr>
  </w:style>
  <w:style w:type="character" w:customStyle="1" w:styleId="TextocomentarioCar">
    <w:name w:val="Texto comentario Car"/>
    <w:basedOn w:val="Fuentedeprrafopredeter"/>
    <w:link w:val="Textocomentario"/>
    <w:uiPriority w:val="99"/>
    <w:rsid w:val="001C44FB"/>
    <w:rPr>
      <w:sz w:val="20"/>
      <w:szCs w:val="20"/>
    </w:rPr>
  </w:style>
  <w:style w:type="paragraph" w:styleId="Asuntodelcomentario">
    <w:name w:val="annotation subject"/>
    <w:basedOn w:val="Textocomentario"/>
    <w:next w:val="Textocomentario"/>
    <w:link w:val="AsuntodelcomentarioCar"/>
    <w:uiPriority w:val="99"/>
    <w:semiHidden/>
    <w:unhideWhenUsed/>
    <w:rsid w:val="001C44FB"/>
    <w:rPr>
      <w:b/>
      <w:bCs/>
    </w:rPr>
  </w:style>
  <w:style w:type="character" w:customStyle="1" w:styleId="AsuntodelcomentarioCar">
    <w:name w:val="Asunto del comentario Car"/>
    <w:basedOn w:val="TextocomentarioCar"/>
    <w:link w:val="Asuntodelcomentario"/>
    <w:uiPriority w:val="99"/>
    <w:semiHidden/>
    <w:rsid w:val="001C44FB"/>
    <w:rPr>
      <w:b/>
      <w:bCs/>
      <w:sz w:val="20"/>
      <w:szCs w:val="20"/>
    </w:rPr>
  </w:style>
  <w:style w:type="paragraph" w:styleId="Textodeglobo">
    <w:name w:val="Balloon Text"/>
    <w:basedOn w:val="Normal"/>
    <w:link w:val="TextodegloboCar"/>
    <w:uiPriority w:val="99"/>
    <w:semiHidden/>
    <w:unhideWhenUsed/>
    <w:rsid w:val="001C44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C44FB"/>
    <w:rPr>
      <w:rFonts w:ascii="Tahoma" w:hAnsi="Tahoma" w:cs="Tahoma"/>
      <w:sz w:val="16"/>
      <w:szCs w:val="16"/>
    </w:rPr>
  </w:style>
  <w:style w:type="paragraph" w:styleId="HTMLconformatoprevio">
    <w:name w:val="HTML Preformatted"/>
    <w:basedOn w:val="Normal"/>
    <w:link w:val="HTMLconformatoprevioCar"/>
    <w:uiPriority w:val="99"/>
    <w:unhideWhenUsed/>
    <w:rsid w:val="003D4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rsid w:val="003D4C8C"/>
    <w:rPr>
      <w:rFonts w:ascii="Courier New" w:eastAsia="Times New Roman" w:hAnsi="Courier New" w:cs="Courier New"/>
      <w:sz w:val="20"/>
      <w:szCs w:val="20"/>
      <w:lang w:eastAsia="es-ES"/>
    </w:rPr>
  </w:style>
  <w:style w:type="character" w:styleId="Hipervnculo">
    <w:name w:val="Hyperlink"/>
    <w:basedOn w:val="Fuentedeprrafopredeter"/>
    <w:uiPriority w:val="99"/>
    <w:unhideWhenUsed/>
    <w:rsid w:val="00B11AE1"/>
    <w:rPr>
      <w:color w:val="0000FF" w:themeColor="hyperlink"/>
      <w:u w:val="single"/>
    </w:rPr>
  </w:style>
  <w:style w:type="character" w:styleId="Hipervnculovisitado">
    <w:name w:val="FollowedHyperlink"/>
    <w:basedOn w:val="Fuentedeprrafopredeter"/>
    <w:uiPriority w:val="99"/>
    <w:semiHidden/>
    <w:unhideWhenUsed/>
    <w:rsid w:val="00D54D71"/>
    <w:rPr>
      <w:color w:val="800080" w:themeColor="followedHyperlink"/>
      <w:u w:val="single"/>
    </w:rPr>
  </w:style>
  <w:style w:type="paragraph" w:styleId="Revisin">
    <w:name w:val="Revision"/>
    <w:hidden/>
    <w:uiPriority w:val="99"/>
    <w:semiHidden/>
    <w:rsid w:val="00F4397E"/>
    <w:pPr>
      <w:spacing w:after="0" w:line="240" w:lineRule="auto"/>
    </w:pPr>
  </w:style>
  <w:style w:type="paragraph" w:styleId="Encabezado">
    <w:name w:val="header"/>
    <w:basedOn w:val="Normal"/>
    <w:link w:val="EncabezadoCar"/>
    <w:uiPriority w:val="99"/>
    <w:unhideWhenUsed/>
    <w:rsid w:val="00C447F3"/>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C447F3"/>
  </w:style>
  <w:style w:type="paragraph" w:styleId="Piedepgina">
    <w:name w:val="footer"/>
    <w:basedOn w:val="Normal"/>
    <w:link w:val="PiedepginaCar"/>
    <w:uiPriority w:val="99"/>
    <w:unhideWhenUsed/>
    <w:rsid w:val="00C447F3"/>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C447F3"/>
  </w:style>
  <w:style w:type="character" w:customStyle="1" w:styleId="Ttulo2Car">
    <w:name w:val="Título 2 Car"/>
    <w:basedOn w:val="Fuentedeprrafopredeter"/>
    <w:link w:val="Ttulo2"/>
    <w:uiPriority w:val="9"/>
    <w:rsid w:val="00C449BA"/>
    <w:rPr>
      <w:rFonts w:ascii="Arial" w:eastAsia="Times New Roman" w:hAnsi="Arial" w:cs="Arial"/>
      <w:b/>
      <w:bCs/>
      <w:u w:val="single" w:color="000000"/>
    </w:rPr>
  </w:style>
  <w:style w:type="character" w:customStyle="1" w:styleId="Ttulo1Car">
    <w:name w:val="Título 1 Car"/>
    <w:basedOn w:val="Fuentedeprrafopredeter"/>
    <w:link w:val="Ttulo1"/>
    <w:uiPriority w:val="9"/>
    <w:rsid w:val="001C6447"/>
    <w:rPr>
      <w:rFonts w:ascii="Arial" w:eastAsiaTheme="majorEastAsia" w:hAnsi="Arial" w:cstheme="majorBidi"/>
      <w:b/>
      <w:color w:val="365F91" w:themeColor="accent1" w:themeShade="BF"/>
      <w:sz w:val="28"/>
      <w:szCs w:val="32"/>
    </w:rPr>
  </w:style>
  <w:style w:type="character" w:customStyle="1" w:styleId="Ttulo3Car">
    <w:name w:val="Título 3 Car"/>
    <w:basedOn w:val="Fuentedeprrafopredeter"/>
    <w:link w:val="Ttulo3"/>
    <w:uiPriority w:val="9"/>
    <w:rsid w:val="001C6447"/>
    <w:rPr>
      <w:rFonts w:asciiTheme="majorHAnsi" w:eastAsiaTheme="majorEastAsia" w:hAnsiTheme="majorHAnsi" w:cstheme="majorBidi"/>
      <w:color w:val="243F60" w:themeColor="accent1" w:themeShade="7F"/>
      <w:sz w:val="24"/>
      <w:szCs w:val="24"/>
    </w:rPr>
  </w:style>
  <w:style w:type="paragraph" w:styleId="TtuloTDC">
    <w:name w:val="TOC Heading"/>
    <w:basedOn w:val="Ttulo1"/>
    <w:next w:val="Normal"/>
    <w:uiPriority w:val="39"/>
    <w:unhideWhenUsed/>
    <w:qFormat/>
    <w:rsid w:val="002E2116"/>
    <w:pPr>
      <w:spacing w:line="259" w:lineRule="auto"/>
      <w:outlineLvl w:val="9"/>
    </w:pPr>
    <w:rPr>
      <w:rFonts w:asciiTheme="majorHAnsi" w:hAnsiTheme="majorHAnsi"/>
      <w:b w:val="0"/>
      <w:sz w:val="32"/>
      <w:lang w:val="es-UY" w:eastAsia="es-UY"/>
    </w:rPr>
  </w:style>
  <w:style w:type="paragraph" w:styleId="TDC1">
    <w:name w:val="toc 1"/>
    <w:basedOn w:val="Normal"/>
    <w:next w:val="Normal"/>
    <w:autoRedefine/>
    <w:uiPriority w:val="39"/>
    <w:unhideWhenUsed/>
    <w:rsid w:val="002E2116"/>
    <w:pPr>
      <w:spacing w:after="100"/>
    </w:pPr>
  </w:style>
  <w:style w:type="paragraph" w:styleId="TDC3">
    <w:name w:val="toc 3"/>
    <w:basedOn w:val="Normal"/>
    <w:next w:val="Normal"/>
    <w:autoRedefine/>
    <w:uiPriority w:val="39"/>
    <w:unhideWhenUsed/>
    <w:rsid w:val="005B11A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3932">
      <w:bodyDiv w:val="1"/>
      <w:marLeft w:val="0"/>
      <w:marRight w:val="0"/>
      <w:marTop w:val="0"/>
      <w:marBottom w:val="0"/>
      <w:divBdr>
        <w:top w:val="none" w:sz="0" w:space="0" w:color="auto"/>
        <w:left w:val="none" w:sz="0" w:space="0" w:color="auto"/>
        <w:bottom w:val="none" w:sz="0" w:space="0" w:color="auto"/>
        <w:right w:val="none" w:sz="0" w:space="0" w:color="auto"/>
      </w:divBdr>
    </w:div>
    <w:div w:id="265815932">
      <w:bodyDiv w:val="1"/>
      <w:marLeft w:val="0"/>
      <w:marRight w:val="0"/>
      <w:marTop w:val="0"/>
      <w:marBottom w:val="0"/>
      <w:divBdr>
        <w:top w:val="none" w:sz="0" w:space="0" w:color="auto"/>
        <w:left w:val="none" w:sz="0" w:space="0" w:color="auto"/>
        <w:bottom w:val="none" w:sz="0" w:space="0" w:color="auto"/>
        <w:right w:val="none" w:sz="0" w:space="0" w:color="auto"/>
      </w:divBdr>
    </w:div>
    <w:div w:id="654601900">
      <w:bodyDiv w:val="1"/>
      <w:marLeft w:val="0"/>
      <w:marRight w:val="0"/>
      <w:marTop w:val="0"/>
      <w:marBottom w:val="0"/>
      <w:divBdr>
        <w:top w:val="none" w:sz="0" w:space="0" w:color="auto"/>
        <w:left w:val="none" w:sz="0" w:space="0" w:color="auto"/>
        <w:bottom w:val="none" w:sz="0" w:space="0" w:color="auto"/>
        <w:right w:val="none" w:sz="0" w:space="0" w:color="auto"/>
      </w:divBdr>
    </w:div>
    <w:div w:id="867840704">
      <w:bodyDiv w:val="1"/>
      <w:marLeft w:val="0"/>
      <w:marRight w:val="0"/>
      <w:marTop w:val="0"/>
      <w:marBottom w:val="0"/>
      <w:divBdr>
        <w:top w:val="none" w:sz="0" w:space="0" w:color="auto"/>
        <w:left w:val="none" w:sz="0" w:space="0" w:color="auto"/>
        <w:bottom w:val="none" w:sz="0" w:space="0" w:color="auto"/>
        <w:right w:val="none" w:sz="0" w:space="0" w:color="auto"/>
      </w:divBdr>
    </w:div>
    <w:div w:id="870917493">
      <w:bodyDiv w:val="1"/>
      <w:marLeft w:val="0"/>
      <w:marRight w:val="0"/>
      <w:marTop w:val="0"/>
      <w:marBottom w:val="0"/>
      <w:divBdr>
        <w:top w:val="none" w:sz="0" w:space="0" w:color="auto"/>
        <w:left w:val="none" w:sz="0" w:space="0" w:color="auto"/>
        <w:bottom w:val="none" w:sz="0" w:space="0" w:color="auto"/>
        <w:right w:val="none" w:sz="0" w:space="0" w:color="auto"/>
      </w:divBdr>
    </w:div>
    <w:div w:id="926886392">
      <w:bodyDiv w:val="1"/>
      <w:marLeft w:val="0"/>
      <w:marRight w:val="0"/>
      <w:marTop w:val="0"/>
      <w:marBottom w:val="0"/>
      <w:divBdr>
        <w:top w:val="none" w:sz="0" w:space="0" w:color="auto"/>
        <w:left w:val="none" w:sz="0" w:space="0" w:color="auto"/>
        <w:bottom w:val="none" w:sz="0" w:space="0" w:color="auto"/>
        <w:right w:val="none" w:sz="0" w:space="0" w:color="auto"/>
      </w:divBdr>
    </w:div>
    <w:div w:id="988828688">
      <w:bodyDiv w:val="1"/>
      <w:marLeft w:val="0"/>
      <w:marRight w:val="0"/>
      <w:marTop w:val="0"/>
      <w:marBottom w:val="0"/>
      <w:divBdr>
        <w:top w:val="none" w:sz="0" w:space="0" w:color="auto"/>
        <w:left w:val="none" w:sz="0" w:space="0" w:color="auto"/>
        <w:bottom w:val="none" w:sz="0" w:space="0" w:color="auto"/>
        <w:right w:val="none" w:sz="0" w:space="0" w:color="auto"/>
      </w:divBdr>
    </w:div>
    <w:div w:id="1004360949">
      <w:bodyDiv w:val="1"/>
      <w:marLeft w:val="0"/>
      <w:marRight w:val="0"/>
      <w:marTop w:val="0"/>
      <w:marBottom w:val="0"/>
      <w:divBdr>
        <w:top w:val="none" w:sz="0" w:space="0" w:color="auto"/>
        <w:left w:val="none" w:sz="0" w:space="0" w:color="auto"/>
        <w:bottom w:val="none" w:sz="0" w:space="0" w:color="auto"/>
        <w:right w:val="none" w:sz="0" w:space="0" w:color="auto"/>
      </w:divBdr>
    </w:div>
    <w:div w:id="1066684549">
      <w:bodyDiv w:val="1"/>
      <w:marLeft w:val="0"/>
      <w:marRight w:val="0"/>
      <w:marTop w:val="0"/>
      <w:marBottom w:val="0"/>
      <w:divBdr>
        <w:top w:val="none" w:sz="0" w:space="0" w:color="auto"/>
        <w:left w:val="none" w:sz="0" w:space="0" w:color="auto"/>
        <w:bottom w:val="none" w:sz="0" w:space="0" w:color="auto"/>
        <w:right w:val="none" w:sz="0" w:space="0" w:color="auto"/>
      </w:divBdr>
    </w:div>
    <w:div w:id="1190142844">
      <w:bodyDiv w:val="1"/>
      <w:marLeft w:val="0"/>
      <w:marRight w:val="0"/>
      <w:marTop w:val="0"/>
      <w:marBottom w:val="0"/>
      <w:divBdr>
        <w:top w:val="none" w:sz="0" w:space="0" w:color="auto"/>
        <w:left w:val="none" w:sz="0" w:space="0" w:color="auto"/>
        <w:bottom w:val="none" w:sz="0" w:space="0" w:color="auto"/>
        <w:right w:val="none" w:sz="0" w:space="0" w:color="auto"/>
      </w:divBdr>
    </w:div>
    <w:div w:id="1282959915">
      <w:bodyDiv w:val="1"/>
      <w:marLeft w:val="0"/>
      <w:marRight w:val="0"/>
      <w:marTop w:val="0"/>
      <w:marBottom w:val="0"/>
      <w:divBdr>
        <w:top w:val="none" w:sz="0" w:space="0" w:color="auto"/>
        <w:left w:val="none" w:sz="0" w:space="0" w:color="auto"/>
        <w:bottom w:val="none" w:sz="0" w:space="0" w:color="auto"/>
        <w:right w:val="none" w:sz="0" w:space="0" w:color="auto"/>
      </w:divBdr>
    </w:div>
    <w:div w:id="1462531082">
      <w:bodyDiv w:val="1"/>
      <w:marLeft w:val="0"/>
      <w:marRight w:val="0"/>
      <w:marTop w:val="0"/>
      <w:marBottom w:val="0"/>
      <w:divBdr>
        <w:top w:val="none" w:sz="0" w:space="0" w:color="auto"/>
        <w:left w:val="none" w:sz="0" w:space="0" w:color="auto"/>
        <w:bottom w:val="none" w:sz="0" w:space="0" w:color="auto"/>
        <w:right w:val="none" w:sz="0" w:space="0" w:color="auto"/>
      </w:divBdr>
    </w:div>
    <w:div w:id="1469277213">
      <w:bodyDiv w:val="1"/>
      <w:marLeft w:val="0"/>
      <w:marRight w:val="0"/>
      <w:marTop w:val="0"/>
      <w:marBottom w:val="0"/>
      <w:divBdr>
        <w:top w:val="none" w:sz="0" w:space="0" w:color="auto"/>
        <w:left w:val="none" w:sz="0" w:space="0" w:color="auto"/>
        <w:bottom w:val="none" w:sz="0" w:space="0" w:color="auto"/>
        <w:right w:val="none" w:sz="0" w:space="0" w:color="auto"/>
      </w:divBdr>
    </w:div>
    <w:div w:id="1510176105">
      <w:bodyDiv w:val="1"/>
      <w:marLeft w:val="0"/>
      <w:marRight w:val="0"/>
      <w:marTop w:val="0"/>
      <w:marBottom w:val="0"/>
      <w:divBdr>
        <w:top w:val="none" w:sz="0" w:space="0" w:color="auto"/>
        <w:left w:val="none" w:sz="0" w:space="0" w:color="auto"/>
        <w:bottom w:val="none" w:sz="0" w:space="0" w:color="auto"/>
        <w:right w:val="none" w:sz="0" w:space="0" w:color="auto"/>
      </w:divBdr>
    </w:div>
    <w:div w:id="1620452403">
      <w:bodyDiv w:val="1"/>
      <w:marLeft w:val="0"/>
      <w:marRight w:val="0"/>
      <w:marTop w:val="0"/>
      <w:marBottom w:val="0"/>
      <w:divBdr>
        <w:top w:val="none" w:sz="0" w:space="0" w:color="auto"/>
        <w:left w:val="none" w:sz="0" w:space="0" w:color="auto"/>
        <w:bottom w:val="none" w:sz="0" w:space="0" w:color="auto"/>
        <w:right w:val="none" w:sz="0" w:space="0" w:color="auto"/>
      </w:divBdr>
    </w:div>
    <w:div w:id="1851673942">
      <w:bodyDiv w:val="1"/>
      <w:marLeft w:val="0"/>
      <w:marRight w:val="0"/>
      <w:marTop w:val="0"/>
      <w:marBottom w:val="0"/>
      <w:divBdr>
        <w:top w:val="none" w:sz="0" w:space="0" w:color="auto"/>
        <w:left w:val="none" w:sz="0" w:space="0" w:color="auto"/>
        <w:bottom w:val="none" w:sz="0" w:space="0" w:color="auto"/>
        <w:right w:val="none" w:sz="0" w:space="0" w:color="auto"/>
      </w:divBdr>
    </w:div>
    <w:div w:id="1971781829">
      <w:bodyDiv w:val="1"/>
      <w:marLeft w:val="0"/>
      <w:marRight w:val="0"/>
      <w:marTop w:val="0"/>
      <w:marBottom w:val="0"/>
      <w:divBdr>
        <w:top w:val="none" w:sz="0" w:space="0" w:color="auto"/>
        <w:left w:val="none" w:sz="0" w:space="0" w:color="auto"/>
        <w:bottom w:val="none" w:sz="0" w:space="0" w:color="auto"/>
        <w:right w:val="none" w:sz="0" w:space="0" w:color="auto"/>
      </w:divBdr>
    </w:div>
    <w:div w:id="2029479985">
      <w:bodyDiv w:val="1"/>
      <w:marLeft w:val="0"/>
      <w:marRight w:val="0"/>
      <w:marTop w:val="0"/>
      <w:marBottom w:val="0"/>
      <w:divBdr>
        <w:top w:val="none" w:sz="0" w:space="0" w:color="auto"/>
        <w:left w:val="none" w:sz="0" w:space="0" w:color="auto"/>
        <w:bottom w:val="none" w:sz="0" w:space="0" w:color="auto"/>
        <w:right w:val="none" w:sz="0" w:space="0" w:color="auto"/>
      </w:divBdr>
    </w:div>
    <w:div w:id="204158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2C864-847C-4A42-A179-1EA7F0DB2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37</Pages>
  <Words>8313</Words>
  <Characters>45725</Characters>
  <Application>Microsoft Office Word</Application>
  <DocSecurity>0</DocSecurity>
  <Lines>381</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DFerres Competencia</dc:creator>
  <cp:lastModifiedBy>Jessica Veiga</cp:lastModifiedBy>
  <cp:revision>19</cp:revision>
  <dcterms:created xsi:type="dcterms:W3CDTF">2026-02-02T17:36:00Z</dcterms:created>
  <dcterms:modified xsi:type="dcterms:W3CDTF">2026-02-02T18:42:00Z</dcterms:modified>
</cp:coreProperties>
</file>